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EBEC" w14:textId="2FC90CCE" w:rsidR="009C7F0C" w:rsidRPr="009C7F0C" w:rsidRDefault="009C7F0C" w:rsidP="009C7F0C">
      <w:pPr>
        <w:widowControl/>
        <w:adjustRightInd w:val="0"/>
        <w:snapToGrid w:val="0"/>
        <w:jc w:val="center"/>
        <w:rPr>
          <w:rFonts w:ascii="方正小标宋简体" w:eastAsia="方正小标宋简体"/>
          <w:kern w:val="0"/>
          <w:sz w:val="36"/>
          <w:szCs w:val="36"/>
        </w:rPr>
      </w:pPr>
      <w:r w:rsidRPr="009C7F0C">
        <w:rPr>
          <w:rFonts w:ascii="方正小标宋简体" w:eastAsia="方正小标宋简体" w:hint="eastAsia"/>
          <w:kern w:val="0"/>
          <w:sz w:val="36"/>
          <w:szCs w:val="36"/>
        </w:rPr>
        <w:t>盐酸</w:t>
      </w:r>
      <w:proofErr w:type="gramStart"/>
      <w:r w:rsidRPr="009C7F0C">
        <w:rPr>
          <w:rFonts w:ascii="方正小标宋简体" w:eastAsia="方正小标宋简体" w:hint="eastAsia"/>
          <w:kern w:val="0"/>
          <w:sz w:val="36"/>
          <w:szCs w:val="36"/>
        </w:rPr>
        <w:t>多柔比</w:t>
      </w:r>
      <w:proofErr w:type="gramEnd"/>
      <w:r w:rsidRPr="009C7F0C">
        <w:rPr>
          <w:rFonts w:ascii="方正小标宋简体" w:eastAsia="方正小标宋简体" w:hint="eastAsia"/>
          <w:kern w:val="0"/>
          <w:sz w:val="36"/>
          <w:szCs w:val="36"/>
        </w:rPr>
        <w:t>星脂质体注射液仿制药研究技术</w:t>
      </w:r>
    </w:p>
    <w:p w14:paraId="467761C0" w14:textId="5CE13019" w:rsidR="009C7F0C" w:rsidRPr="009C7F0C" w:rsidRDefault="003F48E0" w:rsidP="009C7F0C">
      <w:pPr>
        <w:widowControl/>
        <w:adjustRightInd w:val="0"/>
        <w:snapToGrid w:val="0"/>
        <w:jc w:val="center"/>
        <w:rPr>
          <w:rFonts w:ascii="方正小标宋简体" w:eastAsia="方正小标宋简体" w:hAnsi="宋体" w:cs="Times New Roman"/>
          <w:spacing w:val="-8"/>
          <w:sz w:val="36"/>
          <w:szCs w:val="36"/>
        </w:rPr>
      </w:pPr>
      <w:r>
        <w:rPr>
          <w:rFonts w:ascii="方正小标宋简体" w:eastAsia="方正小标宋简体" w:hint="eastAsia"/>
          <w:kern w:val="0"/>
          <w:sz w:val="36"/>
          <w:szCs w:val="36"/>
        </w:rPr>
        <w:t>指导原则（试行）</w:t>
      </w:r>
    </w:p>
    <w:p w14:paraId="6CEDD23F" w14:textId="77777777" w:rsidR="009C7F0C" w:rsidRPr="009C7F0C" w:rsidRDefault="009C7F0C" w:rsidP="009C7F0C">
      <w:pPr>
        <w:widowControl/>
        <w:spacing w:line="360" w:lineRule="auto"/>
        <w:ind w:firstLineChars="200" w:firstLine="640"/>
        <w:outlineLvl w:val="0"/>
        <w:rPr>
          <w:rFonts w:ascii="Times New Roman" w:hAnsi="Times New Roman" w:cs="Times New Roman"/>
          <w:b/>
          <w:bCs/>
          <w:kern w:val="36"/>
          <w:szCs w:val="32"/>
        </w:rPr>
      </w:pPr>
    </w:p>
    <w:p w14:paraId="7AA7B05F"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一</w:t>
      </w:r>
      <w:r w:rsidRPr="009C7F0C">
        <w:rPr>
          <w:rFonts w:ascii="黑体" w:eastAsia="黑体" w:hAnsi="黑体" w:cs="Times New Roman"/>
          <w:bCs/>
          <w:kern w:val="36"/>
          <w:szCs w:val="32"/>
        </w:rPr>
        <w:t>、</w:t>
      </w:r>
      <w:r w:rsidRPr="009C7F0C">
        <w:rPr>
          <w:rFonts w:ascii="黑体" w:eastAsia="黑体" w:hAnsi="黑体" w:cs="Times New Roman" w:hint="eastAsia"/>
          <w:bCs/>
          <w:kern w:val="36"/>
          <w:szCs w:val="32"/>
        </w:rPr>
        <w:t>概述</w:t>
      </w:r>
    </w:p>
    <w:p w14:paraId="0E262586" w14:textId="77777777" w:rsidR="009C7F0C" w:rsidRPr="009C7F0C" w:rsidRDefault="009C7F0C" w:rsidP="009C7F0C">
      <w:pPr>
        <w:widowControl/>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盐酸</w:t>
      </w:r>
      <w:proofErr w:type="gramStart"/>
      <w:r w:rsidRPr="009C7F0C">
        <w:rPr>
          <w:rFonts w:ascii="仿宋_GB2312" w:hAnsi="Times New Roman" w:cs="Times New Roman" w:hint="eastAsia"/>
          <w:bCs/>
          <w:kern w:val="44"/>
          <w:szCs w:val="32"/>
        </w:rPr>
        <w:t>多柔比</w:t>
      </w:r>
      <w:proofErr w:type="gramEnd"/>
      <w:r w:rsidRPr="009C7F0C">
        <w:rPr>
          <w:rFonts w:ascii="仿宋_GB2312" w:hAnsi="Times New Roman" w:cs="Times New Roman" w:hint="eastAsia"/>
          <w:bCs/>
          <w:kern w:val="44"/>
          <w:szCs w:val="32"/>
        </w:rPr>
        <w:t>星脂质体注射液是将</w:t>
      </w:r>
      <w:r w:rsidRPr="009C7F0C">
        <w:rPr>
          <w:rFonts w:ascii="仿宋_GB2312" w:hAnsi="Times New Roman" w:cs="Times New Roman"/>
          <w:bCs/>
          <w:kern w:val="44"/>
          <w:szCs w:val="32"/>
        </w:rPr>
        <w:t>盐酸</w:t>
      </w:r>
      <w:proofErr w:type="gramStart"/>
      <w:r w:rsidRPr="009C7F0C">
        <w:rPr>
          <w:rFonts w:ascii="仿宋_GB2312" w:hAnsi="Times New Roman" w:cs="Times New Roman"/>
          <w:bCs/>
          <w:kern w:val="44"/>
          <w:szCs w:val="32"/>
        </w:rPr>
        <w:t>多柔比</w:t>
      </w:r>
      <w:proofErr w:type="gramEnd"/>
      <w:r w:rsidRPr="009C7F0C">
        <w:rPr>
          <w:rFonts w:ascii="仿宋_GB2312" w:hAnsi="Times New Roman" w:cs="Times New Roman"/>
          <w:bCs/>
          <w:kern w:val="44"/>
          <w:szCs w:val="32"/>
        </w:rPr>
        <w:t>星包裹于脂质体内形成</w:t>
      </w:r>
      <w:r w:rsidRPr="009C7F0C">
        <w:rPr>
          <w:rFonts w:ascii="仿宋_GB2312" w:hAnsi="Times New Roman" w:cs="Times New Roman" w:hint="eastAsia"/>
          <w:bCs/>
          <w:kern w:val="44"/>
          <w:szCs w:val="32"/>
        </w:rPr>
        <w:t>的特殊注射剂。</w:t>
      </w:r>
    </w:p>
    <w:p w14:paraId="687A46A4"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本指导原则根据采用</w:t>
      </w:r>
      <w:r w:rsidRPr="009C7F0C">
        <w:rPr>
          <w:rFonts w:ascii="仿宋_GB2312" w:hAnsi="Times New Roman" w:cs="Times New Roman"/>
          <w:bCs/>
          <w:kern w:val="44"/>
          <w:szCs w:val="32"/>
        </w:rPr>
        <w:t>硫酸铵梯度法</w:t>
      </w:r>
      <w:r w:rsidRPr="009C7F0C">
        <w:rPr>
          <w:rFonts w:ascii="仿宋_GB2312" w:hAnsi="Times New Roman" w:cs="Times New Roman" w:hint="eastAsia"/>
          <w:bCs/>
          <w:kern w:val="44"/>
          <w:szCs w:val="32"/>
        </w:rPr>
        <w:t>制备的盐酸</w:t>
      </w:r>
      <w:proofErr w:type="gramStart"/>
      <w:r w:rsidRPr="009C7F0C">
        <w:rPr>
          <w:rFonts w:ascii="仿宋_GB2312" w:hAnsi="Times New Roman" w:cs="Times New Roman" w:hint="eastAsia"/>
          <w:bCs/>
          <w:kern w:val="44"/>
          <w:szCs w:val="32"/>
        </w:rPr>
        <w:t>多柔比</w:t>
      </w:r>
      <w:proofErr w:type="gramEnd"/>
      <w:r w:rsidRPr="009C7F0C">
        <w:rPr>
          <w:rFonts w:ascii="仿宋_GB2312" w:hAnsi="Times New Roman" w:cs="Times New Roman" w:hint="eastAsia"/>
          <w:bCs/>
          <w:kern w:val="44"/>
          <w:szCs w:val="32"/>
        </w:rPr>
        <w:t>星脂质体注射液的制剂</w:t>
      </w:r>
      <w:r w:rsidRPr="009C7F0C">
        <w:rPr>
          <w:rFonts w:ascii="仿宋_GB2312" w:hAnsi="Times New Roman" w:cs="Times New Roman"/>
          <w:bCs/>
          <w:kern w:val="44"/>
          <w:szCs w:val="32"/>
        </w:rPr>
        <w:t>特点，</w:t>
      </w:r>
      <w:r w:rsidRPr="009C7F0C">
        <w:rPr>
          <w:rFonts w:ascii="仿宋_GB2312" w:hAnsi="Times New Roman" w:cs="Times New Roman" w:hint="eastAsia"/>
          <w:bCs/>
          <w:kern w:val="44"/>
          <w:szCs w:val="32"/>
        </w:rPr>
        <w:t>提</w:t>
      </w:r>
      <w:r w:rsidRPr="009C7F0C">
        <w:rPr>
          <w:rFonts w:ascii="仿宋_GB2312" w:hAnsi="Times New Roman" w:cs="Times New Roman"/>
          <w:bCs/>
          <w:kern w:val="44"/>
          <w:szCs w:val="32"/>
        </w:rPr>
        <w:t>出仿制药</w:t>
      </w:r>
      <w:r w:rsidRPr="009C7F0C">
        <w:rPr>
          <w:rFonts w:ascii="仿宋_GB2312" w:hAnsi="Times New Roman" w:cs="Times New Roman" w:hint="eastAsia"/>
          <w:bCs/>
          <w:kern w:val="44"/>
          <w:szCs w:val="32"/>
        </w:rPr>
        <w:t>开发过程</w:t>
      </w:r>
      <w:r w:rsidRPr="009C7F0C">
        <w:rPr>
          <w:rFonts w:ascii="仿宋_GB2312" w:hAnsi="Times New Roman" w:cs="Times New Roman"/>
          <w:bCs/>
          <w:kern w:val="44"/>
          <w:szCs w:val="32"/>
        </w:rPr>
        <w:t>中</w:t>
      </w:r>
      <w:r w:rsidRPr="009C7F0C">
        <w:rPr>
          <w:rFonts w:ascii="仿宋_GB2312" w:hAnsi="Times New Roman" w:cs="Times New Roman" w:hint="eastAsia"/>
          <w:bCs/>
          <w:kern w:val="44"/>
          <w:szCs w:val="32"/>
        </w:rPr>
        <w:t>药学研究</w:t>
      </w:r>
      <w:r w:rsidRPr="009C7F0C">
        <w:rPr>
          <w:rFonts w:ascii="仿宋_GB2312" w:hAnsi="Times New Roman" w:cs="Times New Roman"/>
          <w:bCs/>
          <w:kern w:val="44"/>
          <w:szCs w:val="32"/>
        </w:rPr>
        <w:t>、非临床</w:t>
      </w:r>
      <w:r w:rsidRPr="009C7F0C">
        <w:rPr>
          <w:rFonts w:ascii="仿宋_GB2312" w:hAnsi="Times New Roman" w:cs="Times New Roman" w:hint="eastAsia"/>
          <w:bCs/>
          <w:kern w:val="44"/>
          <w:szCs w:val="32"/>
        </w:rPr>
        <w:t>研究</w:t>
      </w:r>
      <w:r w:rsidRPr="009C7F0C">
        <w:rPr>
          <w:rFonts w:ascii="仿宋_GB2312" w:hAnsi="Times New Roman" w:cs="Times New Roman"/>
          <w:bCs/>
          <w:kern w:val="44"/>
          <w:szCs w:val="32"/>
        </w:rPr>
        <w:t>和生物等效性研究的技术要求，</w:t>
      </w:r>
      <w:r w:rsidRPr="009C7F0C">
        <w:rPr>
          <w:rFonts w:ascii="仿宋_GB2312" w:hAnsi="Times New Roman" w:cs="Times New Roman" w:hint="eastAsia"/>
          <w:bCs/>
          <w:kern w:val="44"/>
          <w:szCs w:val="32"/>
        </w:rPr>
        <w:t>旨</w:t>
      </w:r>
      <w:r w:rsidRPr="009C7F0C">
        <w:rPr>
          <w:rFonts w:ascii="仿宋_GB2312" w:hAnsi="Times New Roman" w:cs="Times New Roman"/>
          <w:bCs/>
          <w:kern w:val="44"/>
          <w:szCs w:val="32"/>
        </w:rPr>
        <w:t>在</w:t>
      </w:r>
      <w:r w:rsidRPr="009C7F0C">
        <w:rPr>
          <w:rFonts w:ascii="仿宋_GB2312" w:hAnsi="Times New Roman" w:cs="Times New Roman" w:hint="eastAsia"/>
          <w:bCs/>
          <w:kern w:val="44"/>
          <w:szCs w:val="32"/>
        </w:rPr>
        <w:t>为该</w:t>
      </w:r>
      <w:r w:rsidRPr="009C7F0C">
        <w:rPr>
          <w:rFonts w:ascii="仿宋_GB2312" w:hAnsi="Times New Roman" w:cs="Times New Roman"/>
          <w:bCs/>
          <w:kern w:val="44"/>
          <w:szCs w:val="32"/>
        </w:rPr>
        <w:t>仿制药的研发提供</w:t>
      </w:r>
      <w:r w:rsidRPr="009C7F0C">
        <w:rPr>
          <w:rFonts w:ascii="仿宋_GB2312" w:hAnsi="Times New Roman" w:cs="Times New Roman" w:hint="eastAsia"/>
          <w:bCs/>
          <w:kern w:val="44"/>
          <w:szCs w:val="32"/>
        </w:rPr>
        <w:t>技术</w:t>
      </w:r>
      <w:r w:rsidRPr="009C7F0C">
        <w:rPr>
          <w:rFonts w:ascii="仿宋_GB2312" w:hAnsi="Times New Roman" w:cs="Times New Roman"/>
          <w:bCs/>
          <w:kern w:val="44"/>
          <w:szCs w:val="32"/>
        </w:rPr>
        <w:t>指导。</w:t>
      </w:r>
    </w:p>
    <w:p w14:paraId="35F4EDED"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本指导原则仅代表药品监管部门目前对于本品的观点和认识。在符合现行法规的要求下，可采用替代的研究方法，建议提供详细的研究资料或与监管机构进行沟通。</w:t>
      </w:r>
    </w:p>
    <w:p w14:paraId="1058699A"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二、整体研究</w:t>
      </w:r>
      <w:r w:rsidRPr="009C7F0C">
        <w:rPr>
          <w:rFonts w:ascii="黑体" w:eastAsia="黑体" w:hAnsi="黑体" w:cs="Times New Roman"/>
          <w:bCs/>
          <w:kern w:val="36"/>
          <w:szCs w:val="32"/>
        </w:rPr>
        <w:t>思路</w:t>
      </w:r>
    </w:p>
    <w:p w14:paraId="2AD7FDE2"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作</w:t>
      </w:r>
      <w:r w:rsidRPr="009C7F0C">
        <w:rPr>
          <w:rFonts w:ascii="仿宋_GB2312" w:hAnsi="Times New Roman" w:cs="Times New Roman"/>
          <w:bCs/>
          <w:kern w:val="44"/>
          <w:szCs w:val="32"/>
        </w:rPr>
        <w:t>为</w:t>
      </w:r>
      <w:r w:rsidRPr="009C7F0C">
        <w:rPr>
          <w:rFonts w:ascii="仿宋_GB2312" w:hAnsi="Times New Roman" w:cs="Times New Roman" w:hint="eastAsia"/>
          <w:bCs/>
          <w:kern w:val="44"/>
          <w:szCs w:val="32"/>
        </w:rPr>
        <w:t>仿制</w:t>
      </w:r>
      <w:r w:rsidRPr="009C7F0C">
        <w:rPr>
          <w:rFonts w:ascii="仿宋_GB2312" w:hAnsi="Times New Roman" w:cs="Times New Roman"/>
          <w:bCs/>
          <w:kern w:val="44"/>
          <w:szCs w:val="32"/>
        </w:rPr>
        <w:t>药，</w:t>
      </w:r>
      <w:r w:rsidRPr="009C7F0C">
        <w:rPr>
          <w:rFonts w:ascii="仿宋_GB2312" w:hAnsi="Times New Roman" w:cs="Times New Roman" w:hint="eastAsia"/>
          <w:bCs/>
          <w:kern w:val="44"/>
          <w:szCs w:val="32"/>
        </w:rPr>
        <w:t>应</w:t>
      </w:r>
      <w:r w:rsidRPr="009C7F0C">
        <w:rPr>
          <w:rFonts w:ascii="仿宋_GB2312" w:hAnsi="Times New Roman" w:cs="Times New Roman"/>
          <w:bCs/>
          <w:kern w:val="44"/>
          <w:szCs w:val="32"/>
        </w:rPr>
        <w:t>当按照国家局</w:t>
      </w:r>
      <w:r w:rsidRPr="009C7F0C">
        <w:rPr>
          <w:rFonts w:ascii="仿宋_GB2312" w:hAnsi="Times New Roman" w:cs="Times New Roman" w:hint="eastAsia"/>
          <w:bCs/>
          <w:kern w:val="44"/>
          <w:szCs w:val="32"/>
        </w:rPr>
        <w:t>发</w:t>
      </w:r>
      <w:r w:rsidRPr="009C7F0C">
        <w:rPr>
          <w:rFonts w:ascii="仿宋_GB2312" w:hAnsi="Times New Roman" w:cs="Times New Roman"/>
          <w:bCs/>
          <w:kern w:val="44"/>
          <w:szCs w:val="32"/>
        </w:rPr>
        <w:t>布的《</w:t>
      </w:r>
      <w:r w:rsidRPr="009C7F0C">
        <w:rPr>
          <w:rFonts w:ascii="仿宋_GB2312" w:hAnsi="Times New Roman" w:cs="Times New Roman" w:hint="eastAsia"/>
          <w:bCs/>
          <w:kern w:val="44"/>
          <w:szCs w:val="32"/>
        </w:rPr>
        <w:t>化学</w:t>
      </w:r>
      <w:r w:rsidRPr="009C7F0C">
        <w:rPr>
          <w:rFonts w:ascii="仿宋_GB2312" w:hAnsi="Times New Roman" w:cs="Times New Roman"/>
          <w:bCs/>
          <w:kern w:val="44"/>
          <w:szCs w:val="32"/>
        </w:rPr>
        <w:t>仿制药参比制剂遴选与确定程序》</w:t>
      </w:r>
      <w:r w:rsidRPr="009C7F0C">
        <w:rPr>
          <w:rFonts w:ascii="仿宋_GB2312" w:hAnsi="Times New Roman" w:cs="Times New Roman" w:hint="eastAsia"/>
          <w:bCs/>
          <w:kern w:val="44"/>
          <w:szCs w:val="32"/>
        </w:rPr>
        <w:t>选择</w:t>
      </w:r>
      <w:r w:rsidRPr="009C7F0C">
        <w:rPr>
          <w:rFonts w:ascii="仿宋_GB2312" w:hAnsi="Times New Roman" w:cs="Times New Roman"/>
          <w:bCs/>
          <w:kern w:val="44"/>
          <w:szCs w:val="32"/>
        </w:rPr>
        <w:t>参比制剂。</w:t>
      </w:r>
    </w:p>
    <w:p w14:paraId="3B337EC6"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盐酸</w:t>
      </w:r>
      <w:proofErr w:type="gramStart"/>
      <w:r w:rsidRPr="009C7F0C">
        <w:rPr>
          <w:rFonts w:ascii="仿宋_GB2312" w:hAnsi="Times New Roman" w:cs="Times New Roman" w:hint="eastAsia"/>
          <w:bCs/>
          <w:kern w:val="44"/>
          <w:szCs w:val="32"/>
        </w:rPr>
        <w:t>多柔比</w:t>
      </w:r>
      <w:proofErr w:type="gramEnd"/>
      <w:r w:rsidRPr="009C7F0C">
        <w:rPr>
          <w:rFonts w:ascii="仿宋_GB2312" w:hAnsi="Times New Roman" w:cs="Times New Roman" w:hint="eastAsia"/>
          <w:bCs/>
          <w:kern w:val="44"/>
          <w:szCs w:val="32"/>
        </w:rPr>
        <w:t>星脂质体注射液为经静脉注射给</w:t>
      </w:r>
      <w:r w:rsidRPr="009C7F0C">
        <w:rPr>
          <w:rFonts w:ascii="仿宋_GB2312" w:hAnsi="Times New Roman" w:cs="Times New Roman"/>
          <w:bCs/>
          <w:kern w:val="44"/>
          <w:szCs w:val="32"/>
        </w:rPr>
        <w:t>药的</w:t>
      </w:r>
      <w:r w:rsidRPr="009C7F0C">
        <w:rPr>
          <w:rFonts w:ascii="仿宋_GB2312" w:hAnsi="Times New Roman" w:cs="Times New Roman" w:hint="eastAsia"/>
          <w:bCs/>
          <w:kern w:val="44"/>
          <w:szCs w:val="32"/>
        </w:rPr>
        <w:t>脂质体</w:t>
      </w:r>
      <w:r w:rsidRPr="009C7F0C">
        <w:rPr>
          <w:rFonts w:ascii="仿宋_GB2312" w:hAnsi="Times New Roman" w:cs="Times New Roman"/>
          <w:bCs/>
          <w:kern w:val="44"/>
          <w:szCs w:val="32"/>
        </w:rPr>
        <w:t>制剂，</w:t>
      </w:r>
      <w:r w:rsidRPr="009C7F0C">
        <w:rPr>
          <w:rFonts w:ascii="仿宋_GB2312" w:hAnsi="Times New Roman" w:cs="Times New Roman" w:hint="eastAsia"/>
          <w:bCs/>
          <w:kern w:val="44"/>
          <w:szCs w:val="32"/>
        </w:rPr>
        <w:t>应</w:t>
      </w:r>
      <w:r w:rsidRPr="009C7F0C">
        <w:rPr>
          <w:rFonts w:ascii="仿宋_GB2312" w:hAnsi="Times New Roman" w:cs="Times New Roman"/>
          <w:bCs/>
          <w:kern w:val="44"/>
          <w:szCs w:val="32"/>
        </w:rPr>
        <w:t>基于产品特征，采</w:t>
      </w:r>
      <w:r w:rsidRPr="009C7F0C">
        <w:rPr>
          <w:rFonts w:ascii="仿宋_GB2312" w:hAnsi="Times New Roman" w:cs="Times New Roman" w:hint="eastAsia"/>
          <w:bCs/>
          <w:kern w:val="44"/>
          <w:szCs w:val="32"/>
        </w:rPr>
        <w:t>取</w:t>
      </w:r>
      <w:r w:rsidRPr="009C7F0C">
        <w:rPr>
          <w:rFonts w:ascii="仿宋_GB2312" w:hAnsi="Times New Roman" w:cs="Times New Roman"/>
          <w:bCs/>
          <w:kern w:val="44"/>
          <w:szCs w:val="32"/>
        </w:rPr>
        <w:t>逐步递进的对比研究策略，首先</w:t>
      </w:r>
      <w:r w:rsidRPr="009C7F0C">
        <w:rPr>
          <w:rFonts w:ascii="仿宋_GB2312" w:hAnsi="Times New Roman" w:cs="Times New Roman" w:hint="eastAsia"/>
          <w:bCs/>
          <w:kern w:val="44"/>
          <w:szCs w:val="32"/>
        </w:rPr>
        <w:t>进行仿制药与</w:t>
      </w:r>
      <w:r w:rsidRPr="009C7F0C">
        <w:rPr>
          <w:rFonts w:ascii="仿宋_GB2312" w:hAnsi="Times New Roman" w:cs="Times New Roman"/>
          <w:bCs/>
          <w:kern w:val="44"/>
          <w:szCs w:val="32"/>
        </w:rPr>
        <w:t>参比制剂药学</w:t>
      </w:r>
      <w:r w:rsidRPr="009C7F0C">
        <w:rPr>
          <w:rFonts w:ascii="仿宋_GB2312" w:hAnsi="Times New Roman" w:cs="Times New Roman" w:hint="eastAsia"/>
          <w:bCs/>
          <w:kern w:val="44"/>
          <w:szCs w:val="32"/>
        </w:rPr>
        <w:t>和</w:t>
      </w:r>
      <w:r w:rsidRPr="009C7F0C">
        <w:rPr>
          <w:rFonts w:ascii="仿宋_GB2312" w:hAnsi="Times New Roman" w:cs="Times New Roman"/>
          <w:bCs/>
          <w:kern w:val="44"/>
          <w:szCs w:val="32"/>
        </w:rPr>
        <w:t>非临床</w:t>
      </w:r>
      <w:r w:rsidRPr="009C7F0C">
        <w:rPr>
          <w:rFonts w:ascii="仿宋_GB2312" w:hAnsi="Times New Roman" w:cs="Times New Roman" w:hint="eastAsia"/>
          <w:bCs/>
          <w:kern w:val="44"/>
          <w:szCs w:val="32"/>
        </w:rPr>
        <w:t>的全面对比研究；</w:t>
      </w:r>
      <w:r w:rsidRPr="009C7F0C">
        <w:rPr>
          <w:rFonts w:ascii="仿宋_GB2312" w:hAnsi="Times New Roman" w:cs="Times New Roman"/>
          <w:bCs/>
          <w:kern w:val="44"/>
          <w:szCs w:val="32"/>
        </w:rPr>
        <w:t>然后进行</w:t>
      </w:r>
      <w:r w:rsidRPr="009C7F0C">
        <w:rPr>
          <w:rFonts w:ascii="仿宋_GB2312" w:hAnsi="Times New Roman" w:cs="Times New Roman" w:hint="eastAsia"/>
          <w:bCs/>
          <w:kern w:val="44"/>
          <w:szCs w:val="32"/>
        </w:rPr>
        <w:t>人体生物等效性研究；</w:t>
      </w:r>
      <w:r w:rsidRPr="009C7F0C">
        <w:rPr>
          <w:rFonts w:ascii="仿宋_GB2312" w:hAnsi="Times New Roman" w:cs="Times New Roman"/>
          <w:bCs/>
          <w:kern w:val="44"/>
          <w:szCs w:val="32"/>
        </w:rPr>
        <w:t>必要时</w:t>
      </w:r>
      <w:r w:rsidRPr="009C7F0C">
        <w:rPr>
          <w:rFonts w:ascii="仿宋_GB2312" w:hAnsi="Times New Roman" w:cs="Times New Roman" w:hint="eastAsia"/>
          <w:bCs/>
          <w:kern w:val="44"/>
          <w:szCs w:val="32"/>
        </w:rPr>
        <w:t>进行</w:t>
      </w:r>
      <w:r w:rsidRPr="009C7F0C">
        <w:rPr>
          <w:rFonts w:ascii="仿宋_GB2312" w:hAnsi="Times New Roman" w:cs="Times New Roman"/>
          <w:bCs/>
          <w:kern w:val="44"/>
          <w:szCs w:val="32"/>
        </w:rPr>
        <w:t>临床研究。若药学研究和</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或</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非临床研究结果提示</w:t>
      </w:r>
      <w:r w:rsidRPr="009C7F0C">
        <w:rPr>
          <w:rFonts w:ascii="仿宋_GB2312" w:hAnsi="Times New Roman" w:cs="Times New Roman" w:hint="eastAsia"/>
          <w:bCs/>
          <w:kern w:val="44"/>
          <w:szCs w:val="32"/>
        </w:rPr>
        <w:t>仿制药</w:t>
      </w:r>
      <w:r w:rsidRPr="009C7F0C">
        <w:rPr>
          <w:rFonts w:ascii="仿宋_GB2312" w:hAnsi="Times New Roman" w:cs="Times New Roman"/>
          <w:bCs/>
          <w:kern w:val="44"/>
          <w:szCs w:val="32"/>
        </w:rPr>
        <w:t>与参比制剂不一致，</w:t>
      </w:r>
      <w:r w:rsidRPr="009C7F0C">
        <w:rPr>
          <w:rFonts w:ascii="仿宋_GB2312" w:hAnsi="Times New Roman" w:cs="Times New Roman" w:hint="eastAsia"/>
          <w:bCs/>
          <w:kern w:val="44"/>
          <w:szCs w:val="32"/>
        </w:rPr>
        <w:t>申请人应考虑对受试制剂处方工艺进一步优化后重新开</w:t>
      </w:r>
      <w:r w:rsidRPr="009C7F0C">
        <w:rPr>
          <w:rFonts w:ascii="仿宋_GB2312" w:hAnsi="Times New Roman" w:cs="Times New Roman" w:hint="eastAsia"/>
          <w:bCs/>
          <w:kern w:val="44"/>
          <w:szCs w:val="32"/>
        </w:rPr>
        <w:lastRenderedPageBreak/>
        <w:t>展研究</w:t>
      </w:r>
      <w:r w:rsidRPr="009C7F0C">
        <w:rPr>
          <w:rFonts w:ascii="仿宋_GB2312" w:hAnsi="Times New Roman" w:cs="Times New Roman"/>
          <w:bCs/>
          <w:kern w:val="44"/>
          <w:szCs w:val="32"/>
          <w:vertAlign w:val="superscript"/>
        </w:rPr>
        <w:t>1</w:t>
      </w:r>
      <w:r w:rsidRPr="009C7F0C">
        <w:rPr>
          <w:rFonts w:ascii="仿宋_GB2312" w:hAnsi="Times New Roman" w:cs="Times New Roman" w:hint="eastAsia"/>
          <w:bCs/>
          <w:kern w:val="44"/>
          <w:szCs w:val="32"/>
        </w:rPr>
        <w:t>。</w:t>
      </w:r>
    </w:p>
    <w:p w14:paraId="41934A32"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作</w:t>
      </w:r>
      <w:r w:rsidRPr="009C7F0C">
        <w:rPr>
          <w:rFonts w:ascii="仿宋_GB2312" w:hAnsi="Times New Roman" w:cs="Times New Roman"/>
          <w:bCs/>
          <w:kern w:val="44"/>
          <w:szCs w:val="32"/>
        </w:rPr>
        <w:t>为注射剂</w:t>
      </w:r>
      <w:r w:rsidRPr="009C7F0C">
        <w:rPr>
          <w:rFonts w:ascii="仿宋_GB2312" w:hAnsi="Times New Roman" w:cs="Times New Roman" w:hint="eastAsia"/>
          <w:bCs/>
          <w:kern w:val="44"/>
          <w:szCs w:val="32"/>
        </w:rPr>
        <w:t>仿制</w:t>
      </w:r>
      <w:r w:rsidRPr="009C7F0C">
        <w:rPr>
          <w:rFonts w:ascii="仿宋_GB2312" w:hAnsi="Times New Roman" w:cs="Times New Roman"/>
          <w:bCs/>
          <w:kern w:val="44"/>
          <w:szCs w:val="32"/>
        </w:rPr>
        <w:t>药，</w:t>
      </w:r>
      <w:r w:rsidRPr="009C7F0C">
        <w:rPr>
          <w:rFonts w:ascii="仿宋_GB2312" w:hAnsi="Times New Roman" w:cs="Times New Roman" w:hint="eastAsia"/>
          <w:bCs/>
          <w:kern w:val="44"/>
          <w:szCs w:val="32"/>
        </w:rPr>
        <w:t>除满足仿制</w:t>
      </w:r>
      <w:proofErr w:type="gramStart"/>
      <w:r w:rsidRPr="009C7F0C">
        <w:rPr>
          <w:rFonts w:ascii="仿宋_GB2312" w:hAnsi="Times New Roman" w:cs="Times New Roman" w:hint="eastAsia"/>
          <w:bCs/>
          <w:kern w:val="44"/>
          <w:szCs w:val="32"/>
        </w:rPr>
        <w:t>药注册</w:t>
      </w:r>
      <w:proofErr w:type="gramEnd"/>
      <w:r w:rsidRPr="009C7F0C">
        <w:rPr>
          <w:rFonts w:ascii="仿宋_GB2312" w:hAnsi="Times New Roman" w:cs="Times New Roman" w:hint="eastAsia"/>
          <w:bCs/>
          <w:kern w:val="44"/>
          <w:szCs w:val="32"/>
        </w:rPr>
        <w:t>申报的要求外，还</w:t>
      </w:r>
      <w:r w:rsidRPr="009C7F0C">
        <w:rPr>
          <w:rFonts w:ascii="仿宋_GB2312" w:hAnsi="Times New Roman" w:cs="Times New Roman"/>
          <w:bCs/>
          <w:kern w:val="44"/>
          <w:szCs w:val="32"/>
        </w:rPr>
        <w:t>应</w:t>
      </w:r>
      <w:r w:rsidRPr="009C7F0C">
        <w:rPr>
          <w:rFonts w:ascii="仿宋_GB2312" w:hAnsi="Times New Roman" w:cs="Times New Roman" w:hint="eastAsia"/>
          <w:bCs/>
          <w:kern w:val="44"/>
          <w:szCs w:val="32"/>
        </w:rPr>
        <w:t>符合《化学药品注射剂仿制药质量和疗效一致性评价技术要求</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化学药品注射剂仿制药（特殊注射剂）质量和疗效一致性评价技术要求</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等。</w:t>
      </w:r>
    </w:p>
    <w:p w14:paraId="4A9238F4"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三、</w:t>
      </w:r>
      <w:r w:rsidRPr="009C7F0C">
        <w:rPr>
          <w:rFonts w:ascii="黑体" w:eastAsia="黑体" w:hAnsi="黑体" w:cs="Times New Roman"/>
          <w:bCs/>
          <w:kern w:val="36"/>
          <w:szCs w:val="32"/>
        </w:rPr>
        <w:t>技术要求</w:t>
      </w:r>
    </w:p>
    <w:p w14:paraId="669FCBD8" w14:textId="77777777" w:rsidR="009C7F0C" w:rsidRPr="009C7F0C" w:rsidRDefault="009C7F0C" w:rsidP="009C7F0C">
      <w:pPr>
        <w:spacing w:line="360" w:lineRule="auto"/>
        <w:ind w:firstLineChars="200" w:firstLine="640"/>
        <w:outlineLvl w:val="1"/>
        <w:rPr>
          <w:rFonts w:ascii="楷体_GB2312" w:eastAsia="楷体_GB2312" w:hAnsi="宋体" w:cs="Times New Roman"/>
          <w:szCs w:val="32"/>
        </w:rPr>
      </w:pPr>
      <w:r w:rsidRPr="009C7F0C">
        <w:rPr>
          <w:rFonts w:ascii="楷体_GB2312" w:eastAsia="楷体_GB2312" w:hAnsi="宋体" w:cs="Times New Roman" w:hint="eastAsia"/>
          <w:szCs w:val="32"/>
        </w:rPr>
        <w:t>（一）药学研究</w:t>
      </w:r>
    </w:p>
    <w:p w14:paraId="1B5C0A31"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1.</w:t>
      </w:r>
      <w:r w:rsidRPr="009C7F0C">
        <w:rPr>
          <w:rFonts w:ascii="仿宋_GB2312" w:hAnsi="宋体" w:cs="Times New Roman" w:hint="eastAsia"/>
          <w:szCs w:val="32"/>
        </w:rPr>
        <w:t>处方</w:t>
      </w:r>
    </w:p>
    <w:p w14:paraId="34FFC2C8"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仿制药的辅料种类和用量通常应与参比制剂（RLD）相同。辅料的用量相同是指仿制药辅料用量为参比制剂相应辅料用量的95%—105%</w:t>
      </w:r>
      <w:r w:rsidRPr="009C7F0C">
        <w:rPr>
          <w:rFonts w:ascii="仿宋_GB2312" w:hAnsi="宋体" w:cs="Times New Roman" w:hint="eastAsia"/>
          <w:szCs w:val="32"/>
          <w:vertAlign w:val="superscript"/>
        </w:rPr>
        <w:t>2</w:t>
      </w:r>
      <w:r w:rsidRPr="009C7F0C">
        <w:rPr>
          <w:rFonts w:ascii="仿宋_GB2312" w:hAnsi="宋体" w:cs="Times New Roman" w:hint="eastAsia"/>
          <w:szCs w:val="32"/>
        </w:rPr>
        <w:t>。</w:t>
      </w:r>
    </w:p>
    <w:p w14:paraId="52E04959"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氢化大豆磷脂酰</w:t>
      </w:r>
      <w:r w:rsidRPr="009C7F0C">
        <w:rPr>
          <w:rFonts w:ascii="仿宋_GB2312" w:hAnsi="宋体" w:cs="Times New Roman"/>
          <w:szCs w:val="32"/>
        </w:rPr>
        <w:t>胆碱</w:t>
      </w:r>
      <w:r w:rsidRPr="009C7F0C">
        <w:rPr>
          <w:rFonts w:ascii="仿宋_GB2312" w:hAnsi="宋体" w:cs="Times New Roman" w:hint="eastAsia"/>
          <w:szCs w:val="32"/>
        </w:rPr>
        <w:t>（</w:t>
      </w:r>
      <w:r w:rsidRPr="009C7F0C">
        <w:rPr>
          <w:rFonts w:ascii="仿宋_GB2312" w:hAnsi="宋体" w:cs="Times New Roman"/>
          <w:szCs w:val="32"/>
        </w:rPr>
        <w:t>HSPC</w:t>
      </w:r>
      <w:r w:rsidRPr="009C7F0C">
        <w:rPr>
          <w:rFonts w:ascii="仿宋_GB2312" w:hAnsi="宋体" w:cs="Times New Roman" w:hint="eastAsia"/>
          <w:szCs w:val="32"/>
        </w:rPr>
        <w:t>）、胆固醇、</w:t>
      </w:r>
      <w:proofErr w:type="gramStart"/>
      <w:r w:rsidRPr="009C7F0C">
        <w:rPr>
          <w:rFonts w:ascii="仿宋_GB2312" w:hAnsi="宋体" w:cs="Times New Roman" w:hint="eastAsia"/>
          <w:szCs w:val="32"/>
        </w:rPr>
        <w:t>培化磷脂酰乙醇胺</w:t>
      </w:r>
      <w:proofErr w:type="gramEnd"/>
      <w:r w:rsidRPr="009C7F0C">
        <w:rPr>
          <w:rFonts w:ascii="仿宋_GB2312" w:hAnsi="宋体" w:cs="Times New Roman" w:hint="eastAsia"/>
          <w:szCs w:val="32"/>
        </w:rPr>
        <w:t>（</w:t>
      </w:r>
      <w:r w:rsidRPr="009C7F0C">
        <w:rPr>
          <w:rFonts w:ascii="仿宋_GB2312" w:hAnsi="宋体" w:cs="Times New Roman"/>
          <w:szCs w:val="32"/>
        </w:rPr>
        <w:t>MPEG-DSPE</w:t>
      </w:r>
      <w:r w:rsidRPr="009C7F0C">
        <w:rPr>
          <w:rFonts w:ascii="仿宋_GB2312" w:hAnsi="宋体" w:cs="Times New Roman" w:hint="eastAsia"/>
          <w:szCs w:val="32"/>
        </w:rPr>
        <w:t>）是本品的关键成分，应按相关要求进行登记和</w:t>
      </w:r>
      <w:r w:rsidRPr="009C7F0C">
        <w:rPr>
          <w:rFonts w:ascii="仿宋_GB2312" w:hAnsi="宋体" w:cs="Times New Roman"/>
          <w:szCs w:val="32"/>
        </w:rPr>
        <w:t>关联，或</w:t>
      </w:r>
      <w:r w:rsidRPr="009C7F0C">
        <w:rPr>
          <w:rFonts w:ascii="仿宋_GB2312" w:hAnsi="宋体" w:cs="Times New Roman" w:hint="eastAsia"/>
          <w:szCs w:val="32"/>
        </w:rPr>
        <w:t>由</w:t>
      </w:r>
      <w:r w:rsidRPr="009C7F0C">
        <w:rPr>
          <w:rFonts w:ascii="仿宋_GB2312" w:hAnsi="宋体" w:cs="Times New Roman"/>
          <w:szCs w:val="32"/>
        </w:rPr>
        <w:t>制剂注册申请人一并提供</w:t>
      </w:r>
      <w:r w:rsidRPr="009C7F0C">
        <w:rPr>
          <w:rFonts w:ascii="仿宋_GB2312" w:hAnsi="宋体" w:cs="Times New Roman" w:hint="eastAsia"/>
          <w:szCs w:val="32"/>
        </w:rPr>
        <w:t>研究</w:t>
      </w:r>
      <w:r w:rsidRPr="009C7F0C">
        <w:rPr>
          <w:rFonts w:ascii="仿宋_GB2312" w:hAnsi="宋体" w:cs="Times New Roman"/>
          <w:szCs w:val="32"/>
        </w:rPr>
        <w:t>资料</w:t>
      </w:r>
      <w:r w:rsidRPr="009C7F0C">
        <w:rPr>
          <w:rFonts w:ascii="仿宋_GB2312" w:hAnsi="宋体" w:cs="Times New Roman" w:hint="eastAsia"/>
          <w:szCs w:val="32"/>
          <w:vertAlign w:val="superscript"/>
        </w:rPr>
        <w:t>3</w:t>
      </w:r>
      <w:r w:rsidRPr="009C7F0C">
        <w:rPr>
          <w:rFonts w:ascii="仿宋_GB2312" w:hAnsi="宋体" w:cs="Times New Roman" w:hint="eastAsia"/>
          <w:szCs w:val="32"/>
        </w:rPr>
        <w:t>。仿制药应与</w:t>
      </w:r>
      <w:r w:rsidRPr="009C7F0C">
        <w:rPr>
          <w:rFonts w:ascii="仿宋_GB2312" w:hAnsi="宋体" w:cs="Times New Roman"/>
          <w:szCs w:val="32"/>
        </w:rPr>
        <w:t>参比制剂</w:t>
      </w:r>
      <w:r w:rsidRPr="009C7F0C">
        <w:rPr>
          <w:rFonts w:ascii="仿宋_GB2312" w:hAnsi="宋体" w:cs="Times New Roman" w:hint="eastAsia"/>
          <w:szCs w:val="32"/>
        </w:rPr>
        <w:t>选择相同来源（天然的或合成的）的脂质辅料，制定</w:t>
      </w:r>
      <w:r w:rsidRPr="009C7F0C">
        <w:rPr>
          <w:rFonts w:ascii="仿宋_GB2312" w:hAnsi="宋体" w:cs="Times New Roman"/>
          <w:szCs w:val="32"/>
        </w:rPr>
        <w:t>严格的内控标准，</w:t>
      </w:r>
      <w:r w:rsidRPr="009C7F0C">
        <w:rPr>
          <w:rFonts w:ascii="仿宋_GB2312" w:hAnsi="宋体" w:cs="Times New Roman" w:hint="eastAsia"/>
          <w:szCs w:val="32"/>
        </w:rPr>
        <w:t>并提供研究资料证明</w:t>
      </w:r>
      <w:proofErr w:type="gramStart"/>
      <w:r w:rsidRPr="009C7F0C">
        <w:rPr>
          <w:rFonts w:ascii="仿宋_GB2312" w:hAnsi="宋体" w:cs="Times New Roman" w:hint="eastAsia"/>
          <w:szCs w:val="32"/>
        </w:rPr>
        <w:t>仿制药所采用</w:t>
      </w:r>
      <w:proofErr w:type="gramEnd"/>
      <w:r w:rsidRPr="009C7F0C">
        <w:rPr>
          <w:rFonts w:ascii="仿宋_GB2312" w:hAnsi="宋体" w:cs="Times New Roman" w:hint="eastAsia"/>
          <w:szCs w:val="32"/>
        </w:rPr>
        <w:t>的脂质辅料与参比制剂中的脂质辅料相似（如，各组分比例）。</w:t>
      </w:r>
    </w:p>
    <w:p w14:paraId="016ABB3F"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2.</w:t>
      </w:r>
      <w:r w:rsidRPr="009C7F0C">
        <w:rPr>
          <w:rFonts w:ascii="仿宋_GB2312" w:hAnsi="宋体" w:cs="Times New Roman" w:hint="eastAsia"/>
          <w:szCs w:val="32"/>
        </w:rPr>
        <w:t>制备工艺</w:t>
      </w:r>
    </w:p>
    <w:p w14:paraId="769E002E"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szCs w:val="32"/>
        </w:rPr>
        <w:t>采用</w:t>
      </w:r>
      <w:r w:rsidRPr="009C7F0C">
        <w:rPr>
          <w:rFonts w:ascii="仿宋_GB2312" w:hAnsi="宋体" w:cs="Times New Roman" w:hint="eastAsia"/>
          <w:szCs w:val="32"/>
        </w:rPr>
        <w:t>硫酸铵梯度法制备的主要步骤包括：</w:t>
      </w:r>
      <w:r w:rsidRPr="009C7F0C">
        <w:rPr>
          <w:rFonts w:ascii="仿宋_GB2312" w:hAnsi="宋体" w:cs="Times New Roman"/>
          <w:szCs w:val="32"/>
        </w:rPr>
        <w:t>1）空白脂质体的制备，2）硫酸铵梯度</w:t>
      </w:r>
      <w:r w:rsidRPr="009C7F0C">
        <w:rPr>
          <w:rFonts w:ascii="仿宋_GB2312" w:hAnsi="宋体" w:cs="Times New Roman" w:hint="eastAsia"/>
          <w:szCs w:val="32"/>
        </w:rPr>
        <w:t>的形成</w:t>
      </w:r>
      <w:r w:rsidRPr="009C7F0C">
        <w:rPr>
          <w:rFonts w:ascii="仿宋_GB2312" w:hAnsi="宋体" w:cs="Times New Roman"/>
          <w:szCs w:val="32"/>
        </w:rPr>
        <w:t>，3）活性药物的装载。</w:t>
      </w:r>
      <w:r w:rsidRPr="009C7F0C">
        <w:rPr>
          <w:rFonts w:ascii="仿宋_GB2312" w:hAnsi="宋体" w:cs="Times New Roman" w:hint="eastAsia"/>
          <w:szCs w:val="32"/>
        </w:rPr>
        <w:t>活性药物</w:t>
      </w:r>
      <w:r w:rsidRPr="009C7F0C">
        <w:rPr>
          <w:rFonts w:ascii="仿宋_GB2312" w:hAnsi="宋体" w:cs="Times New Roman"/>
          <w:szCs w:val="32"/>
        </w:rPr>
        <w:t>的装载是</w:t>
      </w:r>
      <w:proofErr w:type="gramStart"/>
      <w:r w:rsidRPr="009C7F0C">
        <w:rPr>
          <w:rFonts w:ascii="仿宋_GB2312" w:hAnsi="宋体" w:cs="Times New Roman"/>
          <w:szCs w:val="32"/>
        </w:rPr>
        <w:t>多柔比</w:t>
      </w:r>
      <w:proofErr w:type="gramEnd"/>
      <w:r w:rsidRPr="009C7F0C">
        <w:rPr>
          <w:rFonts w:ascii="仿宋_GB2312" w:hAnsi="宋体" w:cs="Times New Roman"/>
          <w:szCs w:val="32"/>
        </w:rPr>
        <w:t>星</w:t>
      </w:r>
      <w:r w:rsidRPr="009C7F0C">
        <w:rPr>
          <w:rFonts w:ascii="仿宋_GB2312" w:hAnsi="宋体" w:cs="Times New Roman" w:hint="eastAsia"/>
          <w:szCs w:val="32"/>
        </w:rPr>
        <w:t>在</w:t>
      </w:r>
      <w:r w:rsidRPr="009C7F0C">
        <w:rPr>
          <w:rFonts w:ascii="仿宋_GB2312" w:hAnsi="宋体" w:cs="Times New Roman"/>
          <w:szCs w:val="32"/>
        </w:rPr>
        <w:t>脂质体</w:t>
      </w:r>
      <w:r w:rsidRPr="009C7F0C">
        <w:rPr>
          <w:rFonts w:ascii="仿宋_GB2312" w:hAnsi="宋体" w:cs="Times New Roman" w:hint="eastAsia"/>
          <w:szCs w:val="32"/>
        </w:rPr>
        <w:t>内外相</w:t>
      </w:r>
      <w:r w:rsidRPr="009C7F0C">
        <w:rPr>
          <w:rFonts w:ascii="仿宋_GB2312" w:hAnsi="宋体" w:cs="Times New Roman"/>
          <w:szCs w:val="32"/>
        </w:rPr>
        <w:t>的硫酸铵浓度梯度</w:t>
      </w:r>
      <w:r w:rsidRPr="009C7F0C">
        <w:rPr>
          <w:rFonts w:ascii="仿宋_GB2312" w:hAnsi="宋体" w:cs="Times New Roman"/>
          <w:szCs w:val="32"/>
        </w:rPr>
        <w:lastRenderedPageBreak/>
        <w:t>驱</w:t>
      </w:r>
      <w:r w:rsidRPr="009C7F0C">
        <w:rPr>
          <w:rFonts w:ascii="仿宋_GB2312" w:hAnsi="宋体" w:cs="Times New Roman" w:hint="eastAsia"/>
          <w:szCs w:val="32"/>
        </w:rPr>
        <w:t>动下</w:t>
      </w:r>
      <w:r w:rsidRPr="009C7F0C">
        <w:rPr>
          <w:rFonts w:ascii="仿宋_GB2312" w:hAnsi="宋体" w:cs="Times New Roman"/>
          <w:szCs w:val="32"/>
        </w:rPr>
        <w:t>扩散到</w:t>
      </w:r>
      <w:r w:rsidRPr="009C7F0C">
        <w:rPr>
          <w:rFonts w:ascii="仿宋_GB2312" w:hAnsi="宋体" w:cs="Times New Roman" w:hint="eastAsia"/>
          <w:szCs w:val="32"/>
        </w:rPr>
        <w:t>空白</w:t>
      </w:r>
      <w:r w:rsidRPr="009C7F0C">
        <w:rPr>
          <w:rFonts w:ascii="仿宋_GB2312" w:hAnsi="宋体" w:cs="Times New Roman"/>
          <w:szCs w:val="32"/>
        </w:rPr>
        <w:t>脂质体内</w:t>
      </w:r>
      <w:r w:rsidRPr="009C7F0C">
        <w:rPr>
          <w:rFonts w:ascii="仿宋_GB2312" w:hAnsi="宋体" w:cs="Times New Roman" w:hint="eastAsia"/>
          <w:szCs w:val="32"/>
        </w:rPr>
        <w:t>完成</w:t>
      </w:r>
      <w:r w:rsidRPr="009C7F0C">
        <w:rPr>
          <w:rFonts w:ascii="仿宋_GB2312" w:hAnsi="宋体" w:cs="Times New Roman"/>
          <w:szCs w:val="32"/>
        </w:rPr>
        <w:t>的</w:t>
      </w:r>
      <w:r w:rsidRPr="009C7F0C">
        <w:rPr>
          <w:rFonts w:ascii="仿宋_GB2312" w:hAnsi="宋体" w:cs="Times New Roman" w:hint="eastAsia"/>
          <w:szCs w:val="32"/>
          <w:vertAlign w:val="superscript"/>
        </w:rPr>
        <w:t>4</w:t>
      </w:r>
      <w:r w:rsidRPr="009C7F0C">
        <w:rPr>
          <w:rFonts w:ascii="仿宋_GB2312" w:hAnsi="宋体" w:cs="Times New Roman" w:hint="eastAsia"/>
          <w:szCs w:val="32"/>
        </w:rPr>
        <w:t>。</w:t>
      </w:r>
    </w:p>
    <w:p w14:paraId="2679C991"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本品</w:t>
      </w:r>
      <w:r w:rsidRPr="009C7F0C">
        <w:rPr>
          <w:rFonts w:ascii="仿宋_GB2312" w:hAnsi="宋体" w:cs="Times New Roman"/>
          <w:szCs w:val="32"/>
        </w:rPr>
        <w:t>工艺</w:t>
      </w:r>
      <w:r w:rsidRPr="009C7F0C">
        <w:rPr>
          <w:rFonts w:ascii="仿宋_GB2312" w:hAnsi="宋体" w:cs="Times New Roman" w:hint="eastAsia"/>
          <w:szCs w:val="32"/>
        </w:rPr>
        <w:t>较</w:t>
      </w:r>
      <w:r w:rsidRPr="009C7F0C">
        <w:rPr>
          <w:rFonts w:ascii="仿宋_GB2312" w:hAnsi="宋体" w:cs="Times New Roman"/>
          <w:szCs w:val="32"/>
        </w:rPr>
        <w:t>为复杂，</w:t>
      </w:r>
      <w:r w:rsidRPr="009C7F0C">
        <w:rPr>
          <w:rFonts w:ascii="仿宋_GB2312" w:hAnsi="宋体" w:cs="Times New Roman" w:hint="eastAsia"/>
          <w:szCs w:val="32"/>
        </w:rPr>
        <w:t>应提供详细的生产工艺开发研究</w:t>
      </w:r>
      <w:r w:rsidRPr="009C7F0C">
        <w:rPr>
          <w:rFonts w:ascii="仿宋_GB2312" w:hAnsi="宋体" w:cs="Times New Roman"/>
          <w:szCs w:val="32"/>
        </w:rPr>
        <w:t>资料</w:t>
      </w:r>
      <w:r w:rsidRPr="009C7F0C">
        <w:rPr>
          <w:rFonts w:ascii="仿宋_GB2312" w:hAnsi="宋体" w:cs="Times New Roman" w:hint="eastAsia"/>
          <w:szCs w:val="32"/>
        </w:rPr>
        <w:t>和工艺验证资料（包括</w:t>
      </w:r>
      <w:r w:rsidRPr="009C7F0C">
        <w:rPr>
          <w:rFonts w:ascii="仿宋_GB2312" w:hAnsi="宋体" w:cs="Times New Roman"/>
          <w:szCs w:val="32"/>
        </w:rPr>
        <w:t>无菌工艺验证资料</w:t>
      </w:r>
      <w:r w:rsidRPr="009C7F0C">
        <w:rPr>
          <w:rFonts w:ascii="仿宋_GB2312" w:hAnsi="宋体" w:cs="Times New Roman" w:hint="eastAsia"/>
          <w:szCs w:val="32"/>
        </w:rPr>
        <w:t>）。建议制定合理</w:t>
      </w:r>
      <w:r w:rsidRPr="009C7F0C">
        <w:rPr>
          <w:rFonts w:ascii="仿宋_GB2312" w:hAnsi="宋体" w:cs="Times New Roman"/>
          <w:szCs w:val="32"/>
        </w:rPr>
        <w:t>的生产过程控制策略</w:t>
      </w:r>
      <w:r w:rsidRPr="009C7F0C">
        <w:rPr>
          <w:rFonts w:ascii="仿宋_GB2312" w:hAnsi="宋体" w:cs="Times New Roman" w:hint="eastAsia"/>
          <w:szCs w:val="32"/>
        </w:rPr>
        <w:t>，如关键</w:t>
      </w:r>
      <w:r w:rsidRPr="009C7F0C">
        <w:rPr>
          <w:rFonts w:ascii="仿宋_GB2312" w:hAnsi="宋体" w:cs="Times New Roman"/>
          <w:szCs w:val="32"/>
        </w:rPr>
        <w:t>步骤的生产时限、关键中间体</w:t>
      </w:r>
      <w:r w:rsidRPr="009C7F0C">
        <w:rPr>
          <w:rFonts w:ascii="仿宋_GB2312" w:hAnsi="宋体" w:cs="Times New Roman" w:hint="eastAsia"/>
          <w:szCs w:val="32"/>
        </w:rPr>
        <w:t>的质量</w:t>
      </w:r>
      <w:r w:rsidRPr="009C7F0C">
        <w:rPr>
          <w:rFonts w:ascii="仿宋_GB2312" w:hAnsi="宋体" w:cs="Times New Roman"/>
          <w:szCs w:val="32"/>
        </w:rPr>
        <w:t>控制</w:t>
      </w:r>
      <w:r w:rsidRPr="009C7F0C">
        <w:rPr>
          <w:rFonts w:ascii="仿宋_GB2312" w:hAnsi="宋体" w:cs="Times New Roman" w:hint="eastAsia"/>
          <w:szCs w:val="32"/>
        </w:rPr>
        <w:t>标准</w:t>
      </w:r>
      <w:r w:rsidRPr="009C7F0C">
        <w:rPr>
          <w:rFonts w:ascii="仿宋_GB2312" w:hAnsi="宋体" w:cs="Times New Roman"/>
          <w:szCs w:val="32"/>
        </w:rPr>
        <w:t>和</w:t>
      </w:r>
      <w:r w:rsidRPr="009C7F0C">
        <w:rPr>
          <w:rFonts w:ascii="仿宋_GB2312" w:hAnsi="宋体" w:cs="Times New Roman" w:hint="eastAsia"/>
          <w:szCs w:val="32"/>
        </w:rPr>
        <w:t>保持时限等。</w:t>
      </w:r>
    </w:p>
    <w:p w14:paraId="2936916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szCs w:val="32"/>
        </w:rPr>
        <w:t>应特别</w:t>
      </w:r>
      <w:r w:rsidRPr="009C7F0C">
        <w:rPr>
          <w:rFonts w:ascii="仿宋_GB2312" w:hAnsi="宋体" w:cs="Times New Roman" w:hint="eastAsia"/>
          <w:szCs w:val="32"/>
        </w:rPr>
        <w:t>关注</w:t>
      </w:r>
      <w:r w:rsidRPr="009C7F0C">
        <w:rPr>
          <w:rFonts w:ascii="仿宋_GB2312" w:hAnsi="宋体" w:cs="Times New Roman"/>
          <w:szCs w:val="32"/>
        </w:rPr>
        <w:t>生产工艺和</w:t>
      </w:r>
      <w:proofErr w:type="gramStart"/>
      <w:r w:rsidRPr="009C7F0C">
        <w:rPr>
          <w:rFonts w:ascii="仿宋_GB2312" w:hAnsi="宋体" w:cs="Times New Roman"/>
          <w:szCs w:val="32"/>
        </w:rPr>
        <w:t>批量对</w:t>
      </w:r>
      <w:proofErr w:type="gramEnd"/>
      <w:r w:rsidRPr="009C7F0C">
        <w:rPr>
          <w:rFonts w:ascii="仿宋_GB2312" w:hAnsi="宋体" w:cs="Times New Roman"/>
          <w:szCs w:val="32"/>
        </w:rPr>
        <w:t>产品质量可控性的影响</w:t>
      </w:r>
      <w:r w:rsidRPr="009C7F0C">
        <w:rPr>
          <w:rFonts w:ascii="仿宋_GB2312" w:hAnsi="宋体" w:cs="Times New Roman" w:hint="eastAsia"/>
          <w:szCs w:val="32"/>
        </w:rPr>
        <w:t>，注册</w:t>
      </w:r>
      <w:r w:rsidRPr="009C7F0C">
        <w:rPr>
          <w:rFonts w:ascii="仿宋_GB2312" w:hAnsi="宋体" w:cs="Times New Roman"/>
          <w:szCs w:val="32"/>
        </w:rPr>
        <w:t>批和商业批的生产工艺及批量原则上应保持</w:t>
      </w:r>
      <w:r w:rsidRPr="009C7F0C">
        <w:rPr>
          <w:rFonts w:ascii="仿宋_GB2312" w:hAnsi="宋体" w:cs="Times New Roman" w:hint="eastAsia"/>
          <w:szCs w:val="32"/>
        </w:rPr>
        <w:t>一致</w:t>
      </w:r>
      <w:r w:rsidRPr="009C7F0C">
        <w:rPr>
          <w:rFonts w:ascii="仿宋_GB2312" w:hAnsi="宋体" w:cs="Times New Roman"/>
          <w:szCs w:val="32"/>
          <w:vertAlign w:val="superscript"/>
        </w:rPr>
        <w:t>5</w:t>
      </w:r>
      <w:r w:rsidRPr="009C7F0C">
        <w:rPr>
          <w:rFonts w:ascii="仿宋_GB2312" w:hAnsi="宋体" w:cs="Times New Roman"/>
          <w:szCs w:val="32"/>
        </w:rPr>
        <w:t>。</w:t>
      </w:r>
    </w:p>
    <w:p w14:paraId="2D75BC98"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3.</w:t>
      </w:r>
      <w:r w:rsidRPr="009C7F0C">
        <w:rPr>
          <w:rFonts w:ascii="仿宋_GB2312" w:hAnsi="宋体" w:cs="Times New Roman" w:hint="eastAsia"/>
          <w:szCs w:val="32"/>
        </w:rPr>
        <w:t>质量研究</w:t>
      </w:r>
    </w:p>
    <w:p w14:paraId="18D0DD53"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仿制药</w:t>
      </w:r>
      <w:r w:rsidRPr="009C7F0C">
        <w:rPr>
          <w:rFonts w:ascii="仿宋_GB2312" w:hAnsi="宋体" w:cs="Times New Roman"/>
          <w:szCs w:val="32"/>
        </w:rPr>
        <w:t>应</w:t>
      </w:r>
      <w:r w:rsidRPr="009C7F0C">
        <w:rPr>
          <w:rFonts w:ascii="仿宋_GB2312" w:hAnsi="宋体" w:cs="Times New Roman" w:hint="eastAsia"/>
          <w:szCs w:val="32"/>
        </w:rPr>
        <w:t>通过体外表征证明其与参比制剂关键质量属性（CQA</w:t>
      </w:r>
      <w:r w:rsidRPr="009C7F0C">
        <w:rPr>
          <w:rFonts w:ascii="仿宋_GB2312" w:hAnsi="宋体" w:cs="Times New Roman"/>
          <w:szCs w:val="32"/>
        </w:rPr>
        <w:t>s</w:t>
      </w:r>
      <w:r w:rsidRPr="009C7F0C">
        <w:rPr>
          <w:rFonts w:ascii="仿宋_GB2312" w:hAnsi="宋体" w:cs="Times New Roman" w:hint="eastAsia"/>
          <w:szCs w:val="32"/>
        </w:rPr>
        <w:t>）一致，除注射</w:t>
      </w:r>
      <w:r w:rsidRPr="009C7F0C">
        <w:rPr>
          <w:rFonts w:ascii="仿宋_GB2312" w:hAnsi="宋体" w:cs="Times New Roman"/>
          <w:szCs w:val="32"/>
        </w:rPr>
        <w:t>剂</w:t>
      </w:r>
      <w:r w:rsidRPr="009C7F0C">
        <w:rPr>
          <w:rFonts w:ascii="仿宋_GB2312" w:hAnsi="宋体" w:cs="Times New Roman" w:hint="eastAsia"/>
          <w:szCs w:val="32"/>
        </w:rPr>
        <w:t>一般</w:t>
      </w:r>
      <w:r w:rsidRPr="009C7F0C">
        <w:rPr>
          <w:rFonts w:ascii="仿宋_GB2312" w:hAnsi="宋体" w:cs="Times New Roman"/>
          <w:szCs w:val="32"/>
        </w:rPr>
        <w:t>质量属性外，还应关注以下</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szCs w:val="32"/>
          <w:vertAlign w:val="superscript"/>
        </w:rPr>
        <w:t>9</w:t>
      </w:r>
      <w:r w:rsidRPr="009C7F0C">
        <w:rPr>
          <w:rFonts w:ascii="仿宋_GB2312" w:hAnsi="宋体" w:cs="Times New Roman" w:hint="eastAsia"/>
          <w:szCs w:val="32"/>
        </w:rPr>
        <w:t>：</w:t>
      </w:r>
    </w:p>
    <w:p w14:paraId="1FC78548" w14:textId="77777777" w:rsidR="009C7F0C" w:rsidRPr="009C7F0C" w:rsidRDefault="009C7F0C" w:rsidP="009C7F0C">
      <w:pPr>
        <w:spacing w:line="360" w:lineRule="auto"/>
        <w:ind w:firstLineChars="200" w:firstLine="640"/>
        <w:rPr>
          <w:rFonts w:ascii="仿宋_GB2312" w:hAnsi="宋体" w:cs="Times New Roman"/>
          <w:szCs w:val="32"/>
        </w:rPr>
      </w:pPr>
      <w:bookmarkStart w:id="0" w:name="OLE_LINK6"/>
      <w:r w:rsidRPr="009C7F0C">
        <w:rPr>
          <w:rFonts w:ascii="仿宋_GB2312" w:hAnsi="宋体" w:cs="Times New Roman" w:hint="eastAsia"/>
          <w:szCs w:val="32"/>
        </w:rPr>
        <w:t>（</w:t>
      </w:r>
      <w:r w:rsidRPr="009C7F0C">
        <w:rPr>
          <w:rFonts w:ascii="仿宋_GB2312" w:hAnsi="宋体" w:cs="Times New Roman"/>
          <w:szCs w:val="32"/>
        </w:rPr>
        <w:t>1</w:t>
      </w:r>
      <w:r w:rsidRPr="009C7F0C">
        <w:rPr>
          <w:rFonts w:ascii="仿宋_GB2312" w:hAnsi="宋体" w:cs="Times New Roman" w:hint="eastAsia"/>
          <w:szCs w:val="32"/>
        </w:rPr>
        <w:t>）</w:t>
      </w:r>
      <w:bookmarkEnd w:id="0"/>
      <w:r w:rsidRPr="009C7F0C">
        <w:rPr>
          <w:rFonts w:ascii="仿宋_GB2312" w:hAnsi="宋体" w:cs="Times New Roman" w:hint="eastAsia"/>
          <w:szCs w:val="32"/>
        </w:rPr>
        <w:t>脂质体组成：包括磷脂含量、游离的和包封的药物含量、</w:t>
      </w:r>
      <w:r w:rsidRPr="009C7F0C">
        <w:rPr>
          <w:rFonts w:ascii="仿宋_GB2312" w:hAnsi="宋体" w:cs="Times New Roman"/>
          <w:szCs w:val="32"/>
        </w:rPr>
        <w:t>总</w:t>
      </w:r>
      <w:r w:rsidRPr="009C7F0C">
        <w:rPr>
          <w:rFonts w:ascii="仿宋_GB2312" w:hAnsi="宋体" w:cs="Times New Roman" w:hint="eastAsia"/>
          <w:szCs w:val="32"/>
        </w:rPr>
        <w:t>硫酸根和NH</w:t>
      </w:r>
      <w:r w:rsidRPr="009C7F0C">
        <w:rPr>
          <w:rFonts w:ascii="仿宋_GB2312" w:hAnsi="宋体" w:cs="Times New Roman"/>
          <w:szCs w:val="32"/>
          <w:vertAlign w:val="subscript"/>
        </w:rPr>
        <w:t>4</w:t>
      </w:r>
      <w:r w:rsidRPr="009C7F0C">
        <w:rPr>
          <w:rFonts w:ascii="仿宋_GB2312" w:hAnsi="宋体" w:cs="Times New Roman"/>
          <w:szCs w:val="32"/>
          <w:vertAlign w:val="superscript"/>
        </w:rPr>
        <w:t>+</w:t>
      </w:r>
      <w:r w:rsidRPr="009C7F0C">
        <w:rPr>
          <w:rFonts w:ascii="仿宋_GB2312" w:hAnsi="宋体" w:cs="Times New Roman" w:hint="eastAsia"/>
          <w:szCs w:val="32"/>
        </w:rPr>
        <w:t>浓度、内相中硫酸根和NH</w:t>
      </w:r>
      <w:r w:rsidRPr="009C7F0C">
        <w:rPr>
          <w:rFonts w:ascii="仿宋_GB2312" w:hAnsi="宋体" w:cs="Times New Roman" w:hint="eastAsia"/>
          <w:szCs w:val="32"/>
          <w:vertAlign w:val="subscript"/>
        </w:rPr>
        <w:t>4</w:t>
      </w:r>
      <w:r w:rsidRPr="009C7F0C">
        <w:rPr>
          <w:rFonts w:ascii="仿宋_GB2312" w:hAnsi="宋体" w:cs="Times New Roman" w:hint="eastAsia"/>
          <w:szCs w:val="32"/>
          <w:vertAlign w:val="superscript"/>
        </w:rPr>
        <w:t>+</w:t>
      </w:r>
      <w:r w:rsidRPr="009C7F0C">
        <w:rPr>
          <w:rFonts w:ascii="仿宋_GB2312" w:hAnsi="宋体" w:cs="Times New Roman" w:hint="eastAsia"/>
          <w:szCs w:val="32"/>
        </w:rPr>
        <w:t>浓度、组氨酸浓度和蔗糖浓度，应选择</w:t>
      </w:r>
      <w:r w:rsidRPr="009C7F0C">
        <w:rPr>
          <w:rFonts w:ascii="仿宋_GB2312" w:hAnsi="宋体" w:cs="Times New Roman"/>
          <w:szCs w:val="32"/>
        </w:rPr>
        <w:t>适当的方法进行</w:t>
      </w:r>
      <w:r w:rsidRPr="009C7F0C">
        <w:rPr>
          <w:rFonts w:ascii="仿宋_GB2312" w:hAnsi="宋体" w:cs="Times New Roman" w:hint="eastAsia"/>
          <w:szCs w:val="32"/>
        </w:rPr>
        <w:t>研究并</w:t>
      </w:r>
      <w:r w:rsidRPr="009C7F0C">
        <w:rPr>
          <w:rFonts w:ascii="仿宋_GB2312" w:hAnsi="宋体" w:cs="Times New Roman"/>
          <w:szCs w:val="32"/>
        </w:rPr>
        <w:t>计算</w:t>
      </w:r>
      <w:proofErr w:type="gramStart"/>
      <w:r w:rsidRPr="009C7F0C">
        <w:rPr>
          <w:rFonts w:ascii="仿宋_GB2312" w:hAnsi="宋体" w:cs="Times New Roman"/>
          <w:szCs w:val="32"/>
        </w:rPr>
        <w:t>药脂比</w:t>
      </w:r>
      <w:proofErr w:type="gramEnd"/>
      <w:r w:rsidRPr="009C7F0C">
        <w:rPr>
          <w:rFonts w:ascii="仿宋_GB2312" w:hAnsi="宋体" w:cs="Times New Roman" w:hint="eastAsia"/>
          <w:szCs w:val="32"/>
        </w:rPr>
        <w:t>。仿制</w:t>
      </w:r>
      <w:proofErr w:type="gramStart"/>
      <w:r w:rsidRPr="009C7F0C">
        <w:rPr>
          <w:rFonts w:ascii="仿宋_GB2312" w:hAnsi="宋体" w:cs="Times New Roman" w:hint="eastAsia"/>
          <w:szCs w:val="32"/>
        </w:rPr>
        <w:t>药各项</w:t>
      </w:r>
      <w:proofErr w:type="gramEnd"/>
      <w:r w:rsidRPr="009C7F0C">
        <w:rPr>
          <w:rFonts w:ascii="仿宋_GB2312" w:hAnsi="宋体" w:cs="Times New Roman"/>
          <w:szCs w:val="32"/>
        </w:rPr>
        <w:t>指标应与参比制剂</w:t>
      </w:r>
      <w:r w:rsidRPr="009C7F0C">
        <w:rPr>
          <w:rFonts w:ascii="仿宋_GB2312" w:hAnsi="宋体" w:cs="Times New Roman" w:hint="eastAsia"/>
          <w:szCs w:val="32"/>
        </w:rPr>
        <w:t>一致。</w:t>
      </w:r>
    </w:p>
    <w:p w14:paraId="4450E39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w:t>
      </w:r>
      <w:r w:rsidRPr="009C7F0C">
        <w:rPr>
          <w:rFonts w:ascii="仿宋_GB2312" w:hAnsi="宋体" w:cs="Times New Roman"/>
          <w:szCs w:val="32"/>
        </w:rPr>
        <w:t>2</w:t>
      </w:r>
      <w:r w:rsidRPr="009C7F0C">
        <w:rPr>
          <w:rFonts w:ascii="仿宋_GB2312" w:hAnsi="宋体" w:cs="Times New Roman" w:hint="eastAsia"/>
          <w:szCs w:val="32"/>
        </w:rPr>
        <w:t>）包封药物的状态：药物主要以</w:t>
      </w:r>
      <w:proofErr w:type="gramStart"/>
      <w:r w:rsidRPr="009C7F0C">
        <w:rPr>
          <w:rFonts w:ascii="仿宋_GB2312" w:hAnsi="宋体" w:cs="Times New Roman" w:hint="eastAsia"/>
          <w:szCs w:val="32"/>
        </w:rPr>
        <w:t>多柔比</w:t>
      </w:r>
      <w:proofErr w:type="gramEnd"/>
      <w:r w:rsidRPr="009C7F0C">
        <w:rPr>
          <w:rFonts w:ascii="仿宋_GB2312" w:hAnsi="宋体" w:cs="Times New Roman" w:hint="eastAsia"/>
          <w:szCs w:val="32"/>
        </w:rPr>
        <w:t>星硫酸盐沉淀的形式存在于脂质体内，应选择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电镜法和</w:t>
      </w:r>
      <w:r w:rsidRPr="009C7F0C">
        <w:rPr>
          <w:rFonts w:ascii="仿宋_GB2312" w:hAnsi="宋体" w:cs="Times New Roman"/>
          <w:szCs w:val="32"/>
        </w:rPr>
        <w:t>X射线衍射</w:t>
      </w:r>
      <w:r w:rsidRPr="009C7F0C">
        <w:rPr>
          <w:rFonts w:ascii="仿宋_GB2312" w:hAnsi="宋体" w:cs="Times New Roman" w:hint="eastAsia"/>
          <w:szCs w:val="32"/>
        </w:rPr>
        <w:t>法等）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6E38CA4F"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3</w:t>
      </w:r>
      <w:r w:rsidRPr="009C7F0C">
        <w:rPr>
          <w:rFonts w:ascii="仿宋_GB2312" w:hAnsi="宋体" w:cs="Times New Roman" w:hint="eastAsia"/>
          <w:kern w:val="0"/>
          <w:szCs w:val="32"/>
        </w:rPr>
        <w:t>）</w:t>
      </w:r>
      <w:r w:rsidRPr="009C7F0C">
        <w:rPr>
          <w:rFonts w:ascii="仿宋_GB2312" w:hAnsi="宋体" w:cs="Times New Roman"/>
          <w:szCs w:val="32"/>
        </w:rPr>
        <w:t>脂质体</w:t>
      </w:r>
      <w:r w:rsidRPr="009C7F0C">
        <w:rPr>
          <w:rFonts w:ascii="仿宋_GB2312" w:hAnsi="宋体" w:cs="Times New Roman" w:hint="eastAsia"/>
          <w:szCs w:val="32"/>
        </w:rPr>
        <w:t>内环境：</w:t>
      </w:r>
      <w:bookmarkStart w:id="1" w:name="OLE_LINK4"/>
      <w:r w:rsidRPr="009C7F0C">
        <w:rPr>
          <w:rFonts w:ascii="仿宋_GB2312" w:hAnsi="宋体" w:cs="Times New Roman" w:hint="eastAsia"/>
          <w:szCs w:val="32"/>
        </w:rPr>
        <w:t>包括内相体积、内外相</w:t>
      </w:r>
      <w:r w:rsidRPr="009C7F0C">
        <w:rPr>
          <w:rFonts w:ascii="仿宋_GB2312" w:hAnsi="宋体" w:cs="Times New Roman"/>
          <w:szCs w:val="32"/>
        </w:rPr>
        <w:t>pH梯度差、内相</w:t>
      </w:r>
      <w:r w:rsidRPr="009C7F0C">
        <w:rPr>
          <w:rFonts w:ascii="仿宋_GB2312" w:hAnsi="宋体" w:cs="Times New Roman" w:hint="eastAsia"/>
          <w:szCs w:val="32"/>
        </w:rPr>
        <w:t>中硫酸根和NH</w:t>
      </w:r>
      <w:r w:rsidRPr="009C7F0C">
        <w:rPr>
          <w:rFonts w:ascii="仿宋_GB2312" w:hAnsi="宋体" w:cs="Times New Roman" w:hint="eastAsia"/>
          <w:szCs w:val="32"/>
          <w:vertAlign w:val="subscript"/>
        </w:rPr>
        <w:t>4</w:t>
      </w:r>
      <w:r w:rsidRPr="009C7F0C">
        <w:rPr>
          <w:rFonts w:ascii="仿宋_GB2312" w:hAnsi="宋体" w:cs="Times New Roman" w:hint="eastAsia"/>
          <w:szCs w:val="32"/>
          <w:vertAlign w:val="superscript"/>
        </w:rPr>
        <w:t>+</w:t>
      </w:r>
      <w:r w:rsidRPr="009C7F0C">
        <w:rPr>
          <w:rFonts w:ascii="仿宋_GB2312" w:hAnsi="宋体" w:cs="Times New Roman" w:hint="eastAsia"/>
          <w:szCs w:val="32"/>
        </w:rPr>
        <w:t>浓度</w:t>
      </w:r>
      <w:r w:rsidRPr="009C7F0C">
        <w:rPr>
          <w:rFonts w:ascii="仿宋_GB2312" w:hAnsi="宋体" w:cs="Times New Roman"/>
          <w:szCs w:val="32"/>
        </w:rPr>
        <w:t>，</w:t>
      </w:r>
      <w:r w:rsidRPr="009C7F0C">
        <w:rPr>
          <w:rFonts w:ascii="仿宋_GB2312" w:hAnsi="宋体" w:cs="Times New Roman" w:hint="eastAsia"/>
          <w:szCs w:val="32"/>
        </w:rPr>
        <w:t>应选择</w:t>
      </w:r>
      <w:r w:rsidRPr="009C7F0C">
        <w:rPr>
          <w:rFonts w:ascii="仿宋_GB2312" w:hAnsi="宋体" w:cs="Times New Roman"/>
          <w:szCs w:val="32"/>
        </w:rPr>
        <w:t>适当的方法进行</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仿制</w:t>
      </w:r>
      <w:proofErr w:type="gramStart"/>
      <w:r w:rsidRPr="009C7F0C">
        <w:rPr>
          <w:rFonts w:ascii="仿宋_GB2312" w:hAnsi="宋体" w:cs="Times New Roman" w:hint="eastAsia"/>
          <w:szCs w:val="32"/>
        </w:rPr>
        <w:t>药各项</w:t>
      </w:r>
      <w:proofErr w:type="gramEnd"/>
      <w:r w:rsidRPr="009C7F0C">
        <w:rPr>
          <w:rFonts w:ascii="仿宋_GB2312" w:hAnsi="宋体" w:cs="Times New Roman"/>
          <w:szCs w:val="32"/>
        </w:rPr>
        <w:t>指标应与参比制剂</w:t>
      </w:r>
      <w:r w:rsidRPr="009C7F0C">
        <w:rPr>
          <w:rFonts w:ascii="仿宋_GB2312" w:hAnsi="宋体" w:cs="Times New Roman" w:hint="eastAsia"/>
          <w:szCs w:val="32"/>
        </w:rPr>
        <w:t>一致。</w:t>
      </w:r>
    </w:p>
    <w:bookmarkEnd w:id="1"/>
    <w:p w14:paraId="13B63575"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4</w:t>
      </w:r>
      <w:r w:rsidRPr="009C7F0C">
        <w:rPr>
          <w:rFonts w:ascii="仿宋_GB2312" w:hAnsi="宋体" w:cs="Times New Roman" w:hint="eastAsia"/>
          <w:kern w:val="0"/>
          <w:szCs w:val="32"/>
        </w:rPr>
        <w:t>）</w:t>
      </w:r>
      <w:r w:rsidRPr="009C7F0C">
        <w:rPr>
          <w:rFonts w:ascii="仿宋_GB2312" w:hAnsi="宋体" w:cs="Times New Roman" w:hint="eastAsia"/>
          <w:szCs w:val="32"/>
        </w:rPr>
        <w:t>体外释放度：体外释放度是</w:t>
      </w:r>
      <w:r w:rsidRPr="009C7F0C">
        <w:rPr>
          <w:rFonts w:ascii="仿宋_GB2312" w:hAnsi="宋体" w:cs="Times New Roman"/>
          <w:szCs w:val="32"/>
        </w:rPr>
        <w:t>本品的</w:t>
      </w:r>
      <w:r w:rsidRPr="009C7F0C">
        <w:rPr>
          <w:rFonts w:ascii="仿宋_GB2312" w:hAnsi="宋体" w:cs="Times New Roman" w:hint="eastAsia"/>
          <w:szCs w:val="32"/>
        </w:rPr>
        <w:t>重要</w:t>
      </w:r>
      <w:r w:rsidRPr="009C7F0C">
        <w:rPr>
          <w:rFonts w:ascii="仿宋_GB2312" w:hAnsi="宋体" w:cs="Times New Roman"/>
          <w:szCs w:val="32"/>
        </w:rPr>
        <w:t>质控指标</w:t>
      </w:r>
      <w:r w:rsidRPr="009C7F0C">
        <w:rPr>
          <w:rFonts w:ascii="仿宋_GB2312" w:hAnsi="宋体" w:cs="Times New Roman" w:hint="eastAsia"/>
          <w:szCs w:val="32"/>
        </w:rPr>
        <w:t>，</w:t>
      </w:r>
      <w:r w:rsidRPr="009C7F0C">
        <w:rPr>
          <w:rFonts w:ascii="仿宋_GB2312" w:hAnsi="宋体" w:cs="Times New Roman" w:hint="eastAsia"/>
          <w:szCs w:val="32"/>
        </w:rPr>
        <w:lastRenderedPageBreak/>
        <w:t>应选择适当的条件和</w:t>
      </w:r>
      <w:r w:rsidRPr="009C7F0C">
        <w:rPr>
          <w:rFonts w:ascii="仿宋_GB2312" w:hAnsi="宋体" w:cs="Times New Roman"/>
          <w:szCs w:val="32"/>
        </w:rPr>
        <w:t>方法</w:t>
      </w:r>
      <w:r w:rsidRPr="009C7F0C">
        <w:rPr>
          <w:rFonts w:ascii="仿宋_GB2312" w:hAnsi="宋体" w:cs="Times New Roman" w:hint="eastAsia"/>
          <w:szCs w:val="32"/>
        </w:rPr>
        <w:t>进行研究（如</w:t>
      </w:r>
      <w:r w:rsidRPr="009C7F0C">
        <w:rPr>
          <w:rFonts w:ascii="仿宋_GB2312" w:hAnsi="宋体" w:cs="Times New Roman"/>
          <w:szCs w:val="32"/>
        </w:rPr>
        <w:t>，</w:t>
      </w:r>
      <w:r w:rsidRPr="009C7F0C">
        <w:rPr>
          <w:rFonts w:ascii="仿宋_GB2312" w:hAnsi="宋体" w:cs="Times New Roman" w:hint="eastAsia"/>
          <w:szCs w:val="32"/>
        </w:rPr>
        <w:t>FDA溶出度</w:t>
      </w:r>
      <w:r w:rsidRPr="009C7F0C">
        <w:rPr>
          <w:rFonts w:ascii="仿宋_GB2312" w:hAnsi="宋体" w:cs="Times New Roman"/>
          <w:szCs w:val="32"/>
        </w:rPr>
        <w:t>数据库</w:t>
      </w:r>
      <w:r w:rsidRPr="009C7F0C">
        <w:rPr>
          <w:rFonts w:ascii="仿宋_GB2312" w:hAnsi="宋体" w:cs="Times New Roman" w:hint="eastAsia"/>
          <w:szCs w:val="32"/>
        </w:rPr>
        <w:t>方法</w:t>
      </w:r>
      <w:r w:rsidRPr="009C7F0C">
        <w:rPr>
          <w:rFonts w:ascii="仿宋_GB2312" w:hAnsi="宋体" w:cs="Times New Roman"/>
          <w:szCs w:val="32"/>
        </w:rPr>
        <w:t>）</w:t>
      </w:r>
      <w:r w:rsidRPr="009C7F0C">
        <w:rPr>
          <w:rFonts w:ascii="仿宋_GB2312" w:hAnsi="宋体" w:cs="Times New Roman"/>
          <w:szCs w:val="32"/>
          <w:vertAlign w:val="superscript"/>
        </w:rPr>
        <w:t>6</w:t>
      </w:r>
      <w:r w:rsidRPr="009C7F0C">
        <w:rPr>
          <w:rFonts w:ascii="仿宋_GB2312" w:hAnsi="宋体" w:cs="Times New Roman" w:hint="eastAsia"/>
          <w:szCs w:val="32"/>
        </w:rPr>
        <w:t>，仿制药应与参比制剂一致。</w:t>
      </w:r>
    </w:p>
    <w:p w14:paraId="502D8D9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5</w:t>
      </w:r>
      <w:r w:rsidRPr="009C7F0C">
        <w:rPr>
          <w:rFonts w:ascii="仿宋_GB2312" w:hAnsi="宋体" w:cs="Times New Roman" w:hint="eastAsia"/>
          <w:kern w:val="0"/>
          <w:szCs w:val="32"/>
        </w:rPr>
        <w:t>）</w:t>
      </w:r>
      <w:r w:rsidRPr="009C7F0C">
        <w:rPr>
          <w:rFonts w:ascii="仿宋_GB2312" w:hAnsi="宋体" w:cs="Times New Roman"/>
          <w:szCs w:val="32"/>
        </w:rPr>
        <w:t>脂质体形态和</w:t>
      </w:r>
      <w:r w:rsidRPr="009C7F0C">
        <w:rPr>
          <w:rFonts w:ascii="仿宋_GB2312" w:hAnsi="宋体" w:cs="Times New Roman" w:hint="eastAsia"/>
          <w:szCs w:val="32"/>
        </w:rPr>
        <w:t>脂膜层数</w:t>
      </w:r>
      <w:r w:rsidRPr="009C7F0C">
        <w:rPr>
          <w:rFonts w:ascii="仿宋_GB2312" w:hAnsi="宋体" w:cs="Times New Roman"/>
          <w:szCs w:val="32"/>
        </w:rPr>
        <w:t>：</w:t>
      </w:r>
      <w:r w:rsidRPr="009C7F0C">
        <w:rPr>
          <w:rFonts w:ascii="仿宋_GB2312" w:hAnsi="宋体" w:cs="Times New Roman" w:hint="eastAsia"/>
          <w:szCs w:val="32"/>
        </w:rPr>
        <w:t>脂质体</w:t>
      </w:r>
      <w:r w:rsidRPr="009C7F0C">
        <w:rPr>
          <w:rFonts w:ascii="仿宋_GB2312" w:hAnsi="宋体" w:cs="Times New Roman"/>
          <w:szCs w:val="32"/>
        </w:rPr>
        <w:t>的载药量和释放</w:t>
      </w:r>
      <w:r w:rsidRPr="009C7F0C">
        <w:rPr>
          <w:rFonts w:ascii="仿宋_GB2312" w:hAnsi="宋体" w:cs="Times New Roman" w:hint="eastAsia"/>
          <w:szCs w:val="32"/>
        </w:rPr>
        <w:t>度</w:t>
      </w:r>
      <w:r w:rsidRPr="009C7F0C">
        <w:rPr>
          <w:rFonts w:ascii="仿宋_GB2312" w:hAnsi="宋体" w:cs="Times New Roman"/>
          <w:szCs w:val="32"/>
        </w:rPr>
        <w:t>可能受</w:t>
      </w:r>
      <w:r w:rsidRPr="009C7F0C">
        <w:rPr>
          <w:rFonts w:ascii="仿宋_GB2312" w:hAnsi="宋体" w:cs="Times New Roman" w:hint="eastAsia"/>
          <w:szCs w:val="32"/>
        </w:rPr>
        <w:t>脂质体形态</w:t>
      </w:r>
      <w:r w:rsidRPr="009C7F0C">
        <w:rPr>
          <w:rFonts w:ascii="仿宋_GB2312" w:hAnsi="宋体" w:cs="Times New Roman"/>
          <w:szCs w:val="32"/>
        </w:rPr>
        <w:t>和脂膜层数的影响</w:t>
      </w:r>
      <w:r w:rsidRPr="009C7F0C">
        <w:rPr>
          <w:rFonts w:ascii="仿宋_GB2312" w:hAnsi="宋体" w:cs="Times New Roman" w:hint="eastAsia"/>
          <w:szCs w:val="32"/>
        </w:rPr>
        <w:t>，应选择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电镜法等）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7E9E9E24"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6</w:t>
      </w:r>
      <w:r w:rsidRPr="009C7F0C">
        <w:rPr>
          <w:rFonts w:ascii="仿宋_GB2312" w:hAnsi="宋体" w:cs="Times New Roman" w:hint="eastAsia"/>
          <w:kern w:val="0"/>
          <w:szCs w:val="32"/>
        </w:rPr>
        <w:t>）</w:t>
      </w:r>
      <w:r w:rsidRPr="009C7F0C">
        <w:rPr>
          <w:rFonts w:ascii="仿宋_GB2312" w:hAnsi="宋体" w:cs="Times New Roman" w:hint="eastAsia"/>
          <w:szCs w:val="32"/>
        </w:rPr>
        <w:t>脂膜的相变温度：脂膜的相变温度影响脂质体双层膜的稳定性，应选择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差示扫描</w:t>
      </w:r>
      <w:r w:rsidRPr="009C7F0C">
        <w:rPr>
          <w:rFonts w:ascii="仿宋_GB2312" w:hAnsi="宋体" w:cs="Times New Roman"/>
          <w:szCs w:val="32"/>
        </w:rPr>
        <w:t>量热法</w:t>
      </w:r>
      <w:r w:rsidRPr="009C7F0C">
        <w:rPr>
          <w:rFonts w:ascii="仿宋_GB2312" w:hAnsi="宋体" w:cs="Times New Roman" w:hint="eastAsia"/>
          <w:szCs w:val="32"/>
        </w:rPr>
        <w:t>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2625D0A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7</w:t>
      </w:r>
      <w:r w:rsidRPr="009C7F0C">
        <w:rPr>
          <w:rFonts w:ascii="仿宋_GB2312" w:hAnsi="宋体" w:cs="Times New Roman" w:hint="eastAsia"/>
          <w:kern w:val="0"/>
          <w:szCs w:val="32"/>
        </w:rPr>
        <w:t>）</w:t>
      </w:r>
      <w:r w:rsidRPr="009C7F0C">
        <w:rPr>
          <w:rFonts w:ascii="仿宋_GB2312" w:hAnsi="宋体" w:cs="Times New Roman" w:hint="eastAsia"/>
          <w:szCs w:val="32"/>
        </w:rPr>
        <w:t>粒度和粒度分布：粒度和粒度分布是本品</w:t>
      </w:r>
      <w:r w:rsidRPr="009C7F0C">
        <w:rPr>
          <w:rFonts w:ascii="仿宋_GB2312" w:hAnsi="宋体" w:cs="Times New Roman"/>
          <w:szCs w:val="32"/>
        </w:rPr>
        <w:t>的</w:t>
      </w:r>
      <w:r w:rsidRPr="009C7F0C">
        <w:rPr>
          <w:rFonts w:ascii="仿宋_GB2312" w:hAnsi="宋体" w:cs="Times New Roman" w:hint="eastAsia"/>
          <w:szCs w:val="32"/>
        </w:rPr>
        <w:t>重要质控指标。应选择适当的方法进行研究，仿制药的粒度分布（</w:t>
      </w:r>
      <w:r w:rsidRPr="009C7F0C">
        <w:rPr>
          <w:rFonts w:ascii="仿宋_GB2312" w:hAnsi="宋体" w:cs="Times New Roman"/>
          <w:szCs w:val="32"/>
        </w:rPr>
        <w:t>D10</w:t>
      </w:r>
      <w:r w:rsidRPr="009C7F0C">
        <w:rPr>
          <w:rFonts w:ascii="仿宋_GB2312" w:hAnsi="宋体" w:cs="Times New Roman" w:hint="eastAsia"/>
          <w:szCs w:val="32"/>
        </w:rPr>
        <w:t>、</w:t>
      </w:r>
      <w:r w:rsidRPr="009C7F0C">
        <w:rPr>
          <w:rFonts w:ascii="仿宋_GB2312" w:hAnsi="宋体" w:cs="Times New Roman"/>
          <w:szCs w:val="32"/>
        </w:rPr>
        <w:t>D50</w:t>
      </w:r>
      <w:r w:rsidRPr="009C7F0C">
        <w:rPr>
          <w:rFonts w:ascii="仿宋_GB2312" w:hAnsi="宋体" w:cs="Times New Roman" w:hint="eastAsia"/>
          <w:szCs w:val="32"/>
        </w:rPr>
        <w:t>、</w:t>
      </w:r>
      <w:r w:rsidRPr="009C7F0C">
        <w:rPr>
          <w:rFonts w:ascii="仿宋_GB2312" w:hAnsi="宋体" w:cs="Times New Roman"/>
          <w:szCs w:val="32"/>
        </w:rPr>
        <w:t>D90）</w:t>
      </w:r>
      <w:r w:rsidRPr="009C7F0C">
        <w:rPr>
          <w:rFonts w:ascii="仿宋_GB2312" w:hAnsi="宋体" w:cs="Times New Roman" w:hint="eastAsia"/>
          <w:szCs w:val="32"/>
        </w:rPr>
        <w:t>应与参比制剂一致；建议基于D50和</w:t>
      </w:r>
      <w:r w:rsidRPr="009C7F0C">
        <w:rPr>
          <w:rFonts w:ascii="仿宋_GB2312" w:hAnsi="宋体" w:cs="Times New Roman"/>
          <w:szCs w:val="32"/>
        </w:rPr>
        <w:t>SPAN[(D90-D10)/D50]</w:t>
      </w:r>
      <w:r w:rsidRPr="009C7F0C">
        <w:rPr>
          <w:rFonts w:ascii="仿宋_GB2312" w:hAnsi="宋体" w:cs="Times New Roman" w:hint="eastAsia"/>
          <w:szCs w:val="32"/>
        </w:rPr>
        <w:t>或多分散系数，</w:t>
      </w:r>
      <w:r w:rsidRPr="009C7F0C">
        <w:rPr>
          <w:rFonts w:ascii="仿宋_GB2312" w:hAnsi="宋体" w:cs="Times New Roman"/>
          <w:szCs w:val="32"/>
        </w:rPr>
        <w:t>采用</w:t>
      </w:r>
      <w:r w:rsidRPr="009C7F0C">
        <w:rPr>
          <w:rFonts w:ascii="仿宋_GB2312" w:hAnsi="宋体" w:cs="Times New Roman" w:hint="eastAsia"/>
          <w:szCs w:val="32"/>
        </w:rPr>
        <w:t>群体生物等效性研究的分析方法进行粒度和</w:t>
      </w:r>
      <w:r w:rsidRPr="009C7F0C">
        <w:rPr>
          <w:rFonts w:ascii="仿宋_GB2312" w:hAnsi="宋体" w:cs="Times New Roman"/>
          <w:szCs w:val="32"/>
        </w:rPr>
        <w:t>粒度</w:t>
      </w:r>
      <w:r w:rsidRPr="009C7F0C">
        <w:rPr>
          <w:rFonts w:ascii="仿宋_GB2312" w:hAnsi="宋体" w:cs="Times New Roman" w:hint="eastAsia"/>
          <w:szCs w:val="32"/>
        </w:rPr>
        <w:t>分布的对比（仿制药</w:t>
      </w:r>
      <w:r w:rsidRPr="009C7F0C">
        <w:rPr>
          <w:rFonts w:ascii="仿宋_GB2312" w:hAnsi="宋体" w:cs="Times New Roman"/>
          <w:szCs w:val="32"/>
        </w:rPr>
        <w:t>和</w:t>
      </w:r>
      <w:proofErr w:type="gramStart"/>
      <w:r w:rsidRPr="009C7F0C">
        <w:rPr>
          <w:rFonts w:ascii="仿宋_GB2312" w:hAnsi="宋体" w:cs="Times New Roman"/>
          <w:szCs w:val="32"/>
        </w:rPr>
        <w:t>参比</w:t>
      </w:r>
      <w:proofErr w:type="gramEnd"/>
      <w:r w:rsidRPr="009C7F0C">
        <w:rPr>
          <w:rFonts w:ascii="仿宋_GB2312" w:hAnsi="宋体" w:cs="Times New Roman"/>
          <w:szCs w:val="32"/>
        </w:rPr>
        <w:t>制剂</w:t>
      </w:r>
      <w:r w:rsidRPr="009C7F0C">
        <w:rPr>
          <w:rFonts w:ascii="仿宋_GB2312" w:hAnsi="宋体" w:cs="Times New Roman" w:hint="eastAsia"/>
          <w:szCs w:val="32"/>
        </w:rPr>
        <w:t>各选</w:t>
      </w:r>
      <w:r w:rsidRPr="009C7F0C">
        <w:rPr>
          <w:rFonts w:ascii="仿宋_GB2312" w:hAnsi="宋体" w:cs="Times New Roman"/>
          <w:szCs w:val="32"/>
        </w:rPr>
        <w:t>三批，每批不少于10瓶，每瓶平行测定不少于3次）</w:t>
      </w:r>
      <w:r w:rsidRPr="009C7F0C">
        <w:rPr>
          <w:rFonts w:ascii="仿宋_GB2312" w:hAnsi="宋体" w:cs="Times New Roman" w:hint="eastAsia"/>
          <w:szCs w:val="32"/>
        </w:rPr>
        <w:t>，仿制药与参比制剂应等效。</w:t>
      </w:r>
    </w:p>
    <w:p w14:paraId="13C35198"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8</w:t>
      </w:r>
      <w:r w:rsidRPr="009C7F0C">
        <w:rPr>
          <w:rFonts w:ascii="仿宋_GB2312" w:hAnsi="宋体" w:cs="Times New Roman" w:hint="eastAsia"/>
          <w:kern w:val="0"/>
          <w:szCs w:val="32"/>
        </w:rPr>
        <w:t>）</w:t>
      </w:r>
      <w:r w:rsidRPr="009C7F0C">
        <w:rPr>
          <w:rFonts w:ascii="仿宋_GB2312" w:hAnsi="宋体" w:cs="Times New Roman" w:hint="eastAsia"/>
          <w:szCs w:val="32"/>
        </w:rPr>
        <w:t>PEG厚度（脂质体表面</w:t>
      </w:r>
      <w:r w:rsidRPr="009C7F0C">
        <w:rPr>
          <w:rFonts w:ascii="仿宋_GB2312" w:hAnsi="宋体" w:cs="Times New Roman"/>
          <w:szCs w:val="32"/>
        </w:rPr>
        <w:t>PEG</w:t>
      </w:r>
      <w:r w:rsidRPr="009C7F0C">
        <w:rPr>
          <w:rFonts w:ascii="仿宋_GB2312" w:hAnsi="宋体" w:cs="Times New Roman" w:hint="eastAsia"/>
          <w:szCs w:val="32"/>
        </w:rPr>
        <w:t>密度）：采用甲</w:t>
      </w:r>
      <w:proofErr w:type="gramStart"/>
      <w:r w:rsidRPr="009C7F0C">
        <w:rPr>
          <w:rFonts w:ascii="仿宋_GB2312" w:hAnsi="宋体" w:cs="Times New Roman" w:hint="eastAsia"/>
          <w:szCs w:val="32"/>
        </w:rPr>
        <w:t>氧基聚乙二醇</w:t>
      </w:r>
      <w:proofErr w:type="gramEnd"/>
      <w:r w:rsidRPr="009C7F0C">
        <w:rPr>
          <w:rFonts w:ascii="仿宋_GB2312" w:hAnsi="宋体" w:cs="Times New Roman" w:hint="eastAsia"/>
          <w:szCs w:val="32"/>
        </w:rPr>
        <w:t>（</w:t>
      </w:r>
      <w:r w:rsidRPr="009C7F0C">
        <w:rPr>
          <w:rFonts w:ascii="仿宋_GB2312" w:hAnsi="宋体" w:cs="Times New Roman"/>
          <w:szCs w:val="32"/>
        </w:rPr>
        <w:t>MPEG）对</w:t>
      </w:r>
      <w:r w:rsidRPr="009C7F0C">
        <w:rPr>
          <w:rFonts w:ascii="仿宋_GB2312" w:hAnsi="宋体" w:cs="Times New Roman" w:hint="eastAsia"/>
          <w:szCs w:val="32"/>
        </w:rPr>
        <w:t>磷脂酰乙醇胺（</w:t>
      </w:r>
      <w:r w:rsidRPr="009C7F0C">
        <w:rPr>
          <w:rFonts w:ascii="仿宋_GB2312" w:hAnsi="宋体" w:cs="Times New Roman"/>
          <w:szCs w:val="32"/>
        </w:rPr>
        <w:t>DSPE）</w:t>
      </w:r>
      <w:r w:rsidRPr="009C7F0C">
        <w:rPr>
          <w:rFonts w:ascii="仿宋_GB2312" w:hAnsi="宋体" w:cs="Times New Roman" w:hint="eastAsia"/>
          <w:szCs w:val="32"/>
        </w:rPr>
        <w:t>进行修饰，一方面</w:t>
      </w:r>
      <w:r w:rsidRPr="009C7F0C">
        <w:rPr>
          <w:rFonts w:ascii="仿宋_GB2312" w:hAnsi="宋体" w:cs="Times New Roman"/>
          <w:szCs w:val="32"/>
        </w:rPr>
        <w:t>可</w:t>
      </w:r>
      <w:r w:rsidRPr="009C7F0C">
        <w:rPr>
          <w:rFonts w:ascii="仿宋_GB2312" w:hAnsi="宋体" w:cs="Times New Roman" w:hint="eastAsia"/>
          <w:szCs w:val="32"/>
        </w:rPr>
        <w:t>增加脂膜的机械强度；另一方面可避免脂质体被单核吞噬细胞系统（</w:t>
      </w:r>
      <w:r w:rsidRPr="009C7F0C">
        <w:rPr>
          <w:rFonts w:ascii="仿宋_GB2312" w:hAnsi="宋体" w:cs="Times New Roman"/>
          <w:szCs w:val="32"/>
        </w:rPr>
        <w:t>MPS）清除，</w:t>
      </w:r>
      <w:r w:rsidRPr="009C7F0C">
        <w:rPr>
          <w:rFonts w:ascii="仿宋_GB2312" w:hAnsi="宋体" w:cs="Times New Roman" w:hint="eastAsia"/>
          <w:szCs w:val="32"/>
        </w:rPr>
        <w:t>以增加其在血液中的循环时间。应选择</w:t>
      </w:r>
      <w:r w:rsidRPr="009C7F0C">
        <w:rPr>
          <w:rFonts w:ascii="仿宋_GB2312" w:hAnsi="宋体" w:cs="Times New Roman"/>
          <w:szCs w:val="32"/>
        </w:rPr>
        <w:t>适当的方法进行</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471DF867"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9</w:t>
      </w:r>
      <w:r w:rsidRPr="009C7F0C">
        <w:rPr>
          <w:rFonts w:ascii="仿宋_GB2312" w:hAnsi="宋体" w:cs="Times New Roman" w:hint="eastAsia"/>
          <w:kern w:val="0"/>
          <w:szCs w:val="32"/>
        </w:rPr>
        <w:t>）</w:t>
      </w:r>
      <w:r w:rsidRPr="009C7F0C">
        <w:rPr>
          <w:rFonts w:ascii="仿宋_GB2312" w:hAnsi="宋体" w:cs="Times New Roman"/>
          <w:szCs w:val="32"/>
        </w:rPr>
        <w:t>Zeta</w:t>
      </w:r>
      <w:r w:rsidRPr="009C7F0C">
        <w:rPr>
          <w:rFonts w:ascii="仿宋_GB2312" w:hAnsi="宋体" w:cs="Times New Roman" w:hint="eastAsia"/>
          <w:szCs w:val="32"/>
        </w:rPr>
        <w:t>电位：表面电荷可维持</w:t>
      </w:r>
      <w:r w:rsidRPr="009C7F0C">
        <w:rPr>
          <w:rFonts w:ascii="仿宋_GB2312" w:hAnsi="宋体" w:cs="Times New Roman"/>
          <w:szCs w:val="32"/>
        </w:rPr>
        <w:t>脂质体的稳定性，同时</w:t>
      </w:r>
      <w:r w:rsidRPr="009C7F0C">
        <w:rPr>
          <w:rFonts w:ascii="仿宋_GB2312" w:hAnsi="宋体" w:cs="Times New Roman" w:hint="eastAsia"/>
          <w:szCs w:val="32"/>
        </w:rPr>
        <w:t>影响脂质体的组织分布、细胞摄取和清除，应选择适当的</w:t>
      </w:r>
      <w:r w:rsidRPr="009C7F0C">
        <w:rPr>
          <w:rFonts w:ascii="仿宋_GB2312" w:hAnsi="宋体" w:cs="Times New Roman" w:hint="eastAsia"/>
          <w:szCs w:val="32"/>
        </w:rPr>
        <w:lastRenderedPageBreak/>
        <w:t>方法和介质进行研究，仿制药应与参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63CF6C7F"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10</w:t>
      </w:r>
      <w:r w:rsidRPr="009C7F0C">
        <w:rPr>
          <w:rFonts w:ascii="仿宋_GB2312" w:hAnsi="宋体" w:cs="Times New Roman" w:hint="eastAsia"/>
          <w:kern w:val="0"/>
          <w:szCs w:val="32"/>
        </w:rPr>
        <w:t>）</w:t>
      </w:r>
      <w:r w:rsidRPr="009C7F0C">
        <w:rPr>
          <w:rFonts w:ascii="仿宋_GB2312" w:hAnsi="宋体" w:cs="Times New Roman" w:hint="eastAsia"/>
          <w:szCs w:val="32"/>
        </w:rPr>
        <w:t>多种条件下的体外泄漏：为保证肿瘤细胞的等效药物传递，</w:t>
      </w:r>
      <w:r w:rsidRPr="009C7F0C">
        <w:rPr>
          <w:rFonts w:ascii="仿宋_GB2312" w:hAnsi="宋体" w:cs="Times New Roman"/>
          <w:szCs w:val="32"/>
        </w:rPr>
        <w:t>应</w:t>
      </w:r>
      <w:r w:rsidRPr="009C7F0C">
        <w:rPr>
          <w:rFonts w:ascii="仿宋_GB2312" w:hAnsi="宋体" w:cs="Times New Roman" w:hint="eastAsia"/>
          <w:szCs w:val="32"/>
        </w:rPr>
        <w:t>模拟体内环境条件进行药物泄漏的研究，推荐的</w:t>
      </w:r>
      <w:r w:rsidRPr="009C7F0C">
        <w:rPr>
          <w:rFonts w:ascii="仿宋_GB2312" w:hAnsi="宋体" w:cs="Times New Roman"/>
          <w:szCs w:val="32"/>
        </w:rPr>
        <w:t>试验</w:t>
      </w:r>
      <w:r w:rsidRPr="009C7F0C">
        <w:rPr>
          <w:rFonts w:ascii="仿宋_GB2312" w:hAnsi="宋体" w:cs="Times New Roman" w:hint="eastAsia"/>
          <w:szCs w:val="32"/>
        </w:rPr>
        <w:t>条件见下表：</w:t>
      </w:r>
    </w:p>
    <w:tbl>
      <w:tblPr>
        <w:tblStyle w:val="1"/>
        <w:tblW w:w="9209" w:type="dxa"/>
        <w:tblLook w:val="04A0" w:firstRow="1" w:lastRow="0" w:firstColumn="1" w:lastColumn="0" w:noHBand="0" w:noVBand="1"/>
      </w:tblPr>
      <w:tblGrid>
        <w:gridCol w:w="2763"/>
        <w:gridCol w:w="2763"/>
        <w:gridCol w:w="3683"/>
      </w:tblGrid>
      <w:tr w:rsidR="009C7F0C" w:rsidRPr="009C7F0C" w14:paraId="684274EE" w14:textId="77777777" w:rsidTr="00213D1D">
        <w:tc>
          <w:tcPr>
            <w:tcW w:w="2763" w:type="dxa"/>
            <w:vAlign w:val="center"/>
          </w:tcPr>
          <w:p w14:paraId="27821F40"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体外药物泄漏条件</w:t>
            </w:r>
          </w:p>
        </w:tc>
        <w:tc>
          <w:tcPr>
            <w:tcW w:w="2763" w:type="dxa"/>
            <w:vAlign w:val="center"/>
          </w:tcPr>
          <w:p w14:paraId="45F5AF4B"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目的</w:t>
            </w:r>
          </w:p>
        </w:tc>
        <w:tc>
          <w:tcPr>
            <w:tcW w:w="3683" w:type="dxa"/>
            <w:vAlign w:val="center"/>
          </w:tcPr>
          <w:p w14:paraId="7D52B04D"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建议理由</w:t>
            </w:r>
          </w:p>
        </w:tc>
      </w:tr>
      <w:tr w:rsidR="009C7F0C" w:rsidRPr="009C7F0C" w14:paraId="453394CF" w14:textId="77777777" w:rsidTr="00213D1D">
        <w:tc>
          <w:tcPr>
            <w:tcW w:w="2763" w:type="dxa"/>
            <w:vAlign w:val="center"/>
          </w:tcPr>
          <w:p w14:paraId="588CAB25"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在37摄氏度、50%人血浆中24小时</w:t>
            </w:r>
          </w:p>
        </w:tc>
        <w:tc>
          <w:tcPr>
            <w:tcW w:w="2763" w:type="dxa"/>
            <w:vAlign w:val="center"/>
          </w:tcPr>
          <w:p w14:paraId="278E9EB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评价血液循环中脂质体的稳定性</w:t>
            </w:r>
          </w:p>
        </w:tc>
        <w:tc>
          <w:tcPr>
            <w:tcW w:w="3683" w:type="dxa"/>
            <w:vAlign w:val="center"/>
          </w:tcPr>
          <w:p w14:paraId="256C422E"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血浆可模拟血液情况</w:t>
            </w:r>
          </w:p>
        </w:tc>
      </w:tr>
      <w:tr w:rsidR="009C7F0C" w:rsidRPr="009C7F0C" w14:paraId="5B699456" w14:textId="77777777" w:rsidTr="00213D1D">
        <w:tc>
          <w:tcPr>
            <w:tcW w:w="2763" w:type="dxa"/>
            <w:vAlign w:val="center"/>
          </w:tcPr>
          <w:p w14:paraId="66E0A895"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在37摄氏度，pH值5.5、6.5和7.5缓冲液中24小时</w:t>
            </w:r>
          </w:p>
        </w:tc>
        <w:tc>
          <w:tcPr>
            <w:tcW w:w="2763" w:type="dxa"/>
            <w:vAlign w:val="center"/>
          </w:tcPr>
          <w:p w14:paraId="53B03EBC"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模拟正常组织、癌细胞周围或癌细胞内药物的释放</w:t>
            </w:r>
          </w:p>
        </w:tc>
        <w:tc>
          <w:tcPr>
            <w:tcW w:w="3683" w:type="dxa"/>
            <w:vAlign w:val="center"/>
          </w:tcPr>
          <w:p w14:paraId="2B638DA3"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正常组织：p</w:t>
            </w:r>
            <w:r w:rsidRPr="009C7F0C">
              <w:rPr>
                <w:rFonts w:ascii="仿宋_GB2312" w:hAnsi="宋体"/>
                <w:sz w:val="24"/>
                <w:szCs w:val="32"/>
              </w:rPr>
              <w:t>H</w:t>
            </w:r>
            <w:r w:rsidRPr="009C7F0C">
              <w:rPr>
                <w:rFonts w:ascii="仿宋_GB2312" w:hAnsi="宋体" w:hint="eastAsia"/>
                <w:sz w:val="24"/>
                <w:szCs w:val="32"/>
              </w:rPr>
              <w:t>值7.3</w:t>
            </w:r>
          </w:p>
          <w:p w14:paraId="253D69CD"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癌组织：pH值6.6</w:t>
            </w:r>
          </w:p>
          <w:p w14:paraId="4010B12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癌细胞内部（内涵体和溶酶体）：pH 5-6（内涵体和溶酶体可能参与肿瘤细胞摄取脂质体和诱导药物释放）</w:t>
            </w:r>
          </w:p>
        </w:tc>
      </w:tr>
      <w:tr w:rsidR="009C7F0C" w:rsidRPr="009C7F0C" w14:paraId="2B18BB8F" w14:textId="77777777" w:rsidTr="00213D1D">
        <w:tc>
          <w:tcPr>
            <w:tcW w:w="2763" w:type="dxa"/>
            <w:vAlign w:val="center"/>
          </w:tcPr>
          <w:p w14:paraId="7C6C9FA6"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在一定温度范围内（43、47、52、57摄氏度），在pH 6.5的缓冲液中12小时，或直至完全释放</w:t>
            </w:r>
          </w:p>
        </w:tc>
        <w:tc>
          <w:tcPr>
            <w:tcW w:w="2763" w:type="dxa"/>
            <w:vAlign w:val="center"/>
          </w:tcPr>
          <w:p w14:paraId="6E359F89"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评价的脂膜完整性</w:t>
            </w:r>
          </w:p>
        </w:tc>
        <w:tc>
          <w:tcPr>
            <w:tcW w:w="3683" w:type="dxa"/>
            <w:vAlign w:val="center"/>
          </w:tcPr>
          <w:p w14:paraId="1A362AE8"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脂膜的相变温度（T</w:t>
            </w:r>
            <w:r w:rsidRPr="009C7F0C">
              <w:rPr>
                <w:rFonts w:ascii="仿宋_GB2312" w:hAnsi="宋体"/>
                <w:sz w:val="24"/>
                <w:szCs w:val="32"/>
              </w:rPr>
              <w:t>m）</w:t>
            </w:r>
            <w:r w:rsidRPr="009C7F0C">
              <w:rPr>
                <w:rFonts w:ascii="仿宋_GB2312" w:hAnsi="宋体" w:hint="eastAsia"/>
                <w:sz w:val="24"/>
                <w:szCs w:val="32"/>
              </w:rPr>
              <w:t>由脂质双层性质决定（如，刚性、刚度和化学组成等）。不同温度（低于或高于T</w:t>
            </w:r>
            <w:r w:rsidRPr="009C7F0C">
              <w:rPr>
                <w:rFonts w:ascii="仿宋_GB2312" w:hAnsi="宋体"/>
                <w:sz w:val="24"/>
                <w:szCs w:val="32"/>
              </w:rPr>
              <w:t>m</w:t>
            </w:r>
            <w:r w:rsidRPr="009C7F0C">
              <w:rPr>
                <w:rFonts w:ascii="仿宋_GB2312" w:hAnsi="宋体" w:hint="eastAsia"/>
                <w:sz w:val="24"/>
                <w:szCs w:val="32"/>
              </w:rPr>
              <w:t>）下药物释放的差异将反映脂质双层</w:t>
            </w:r>
            <w:r w:rsidRPr="009C7F0C">
              <w:rPr>
                <w:rFonts w:ascii="仿宋_GB2312" w:hAnsi="宋体"/>
                <w:sz w:val="24"/>
                <w:szCs w:val="32"/>
              </w:rPr>
              <w:t>性质</w:t>
            </w:r>
            <w:r w:rsidRPr="009C7F0C">
              <w:rPr>
                <w:rFonts w:ascii="仿宋_GB2312" w:hAnsi="宋体" w:hint="eastAsia"/>
                <w:sz w:val="24"/>
                <w:szCs w:val="32"/>
              </w:rPr>
              <w:t>的细微差异。</w:t>
            </w:r>
          </w:p>
        </w:tc>
      </w:tr>
      <w:tr w:rsidR="009C7F0C" w:rsidRPr="009C7F0C" w14:paraId="2A9814CF" w14:textId="77777777" w:rsidTr="00213D1D">
        <w:tc>
          <w:tcPr>
            <w:tcW w:w="2763" w:type="dxa"/>
            <w:vAlign w:val="center"/>
          </w:tcPr>
          <w:p w14:paraId="6EE0160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在37摄氏度低频（20 kHz）超声2小时或直至完全释放</w:t>
            </w:r>
          </w:p>
        </w:tc>
        <w:tc>
          <w:tcPr>
            <w:tcW w:w="2763" w:type="dxa"/>
            <w:vAlign w:val="center"/>
          </w:tcPr>
          <w:p w14:paraId="25BA8D92"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评价脂质体中药物的</w:t>
            </w:r>
            <w:r w:rsidRPr="009C7F0C">
              <w:rPr>
                <w:rFonts w:ascii="仿宋_GB2312" w:hAnsi="宋体"/>
                <w:sz w:val="24"/>
                <w:szCs w:val="32"/>
              </w:rPr>
              <w:t>包封</w:t>
            </w:r>
            <w:r w:rsidRPr="009C7F0C">
              <w:rPr>
                <w:rFonts w:ascii="仿宋_GB2312" w:hAnsi="宋体" w:hint="eastAsia"/>
                <w:sz w:val="24"/>
                <w:szCs w:val="32"/>
              </w:rPr>
              <w:t>状态</w:t>
            </w:r>
          </w:p>
        </w:tc>
        <w:tc>
          <w:tcPr>
            <w:tcW w:w="3683" w:type="dxa"/>
            <w:vAlign w:val="center"/>
          </w:tcPr>
          <w:p w14:paraId="00D5F156"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低频超声（20 kHz）通过短暂引入孔状缺陷破坏脂质双分子层，使脂质体内的</w:t>
            </w:r>
            <w:proofErr w:type="gramStart"/>
            <w:r w:rsidRPr="009C7F0C">
              <w:rPr>
                <w:rFonts w:ascii="仿宋_GB2312" w:hAnsi="宋体" w:hint="eastAsia"/>
                <w:sz w:val="24"/>
                <w:szCs w:val="32"/>
              </w:rPr>
              <w:t>多柔比</w:t>
            </w:r>
            <w:proofErr w:type="gramEnd"/>
            <w:r w:rsidRPr="009C7F0C">
              <w:rPr>
                <w:rFonts w:ascii="仿宋_GB2312" w:hAnsi="宋体" w:hint="eastAsia"/>
                <w:sz w:val="24"/>
                <w:szCs w:val="32"/>
              </w:rPr>
              <w:t>星</w:t>
            </w:r>
            <w:r w:rsidRPr="009C7F0C">
              <w:rPr>
                <w:rFonts w:ascii="仿宋_GB2312" w:hAnsi="宋体"/>
                <w:sz w:val="24"/>
                <w:szCs w:val="32"/>
              </w:rPr>
              <w:t>硫酸盐沉</w:t>
            </w:r>
            <w:r w:rsidRPr="009C7F0C">
              <w:rPr>
                <w:rFonts w:ascii="仿宋_GB2312" w:hAnsi="宋体"/>
                <w:sz w:val="24"/>
                <w:szCs w:val="32"/>
              </w:rPr>
              <w:lastRenderedPageBreak/>
              <w:t>淀</w:t>
            </w:r>
            <w:r w:rsidRPr="009C7F0C">
              <w:rPr>
                <w:rFonts w:ascii="仿宋_GB2312" w:hAnsi="宋体" w:hint="eastAsia"/>
                <w:sz w:val="24"/>
                <w:szCs w:val="32"/>
              </w:rPr>
              <w:t>溶解释放</w:t>
            </w:r>
            <w:proofErr w:type="gramStart"/>
            <w:r w:rsidRPr="009C7F0C">
              <w:rPr>
                <w:rFonts w:ascii="仿宋_GB2312" w:hAnsi="宋体" w:hint="eastAsia"/>
                <w:sz w:val="24"/>
                <w:szCs w:val="32"/>
              </w:rPr>
              <w:t>多柔比</w:t>
            </w:r>
            <w:proofErr w:type="gramEnd"/>
            <w:r w:rsidRPr="009C7F0C">
              <w:rPr>
                <w:rFonts w:ascii="仿宋_GB2312" w:hAnsi="宋体" w:hint="eastAsia"/>
                <w:sz w:val="24"/>
                <w:szCs w:val="32"/>
              </w:rPr>
              <w:t>星。</w:t>
            </w:r>
          </w:p>
        </w:tc>
      </w:tr>
    </w:tbl>
    <w:p w14:paraId="27631541"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lastRenderedPageBreak/>
        <w:t>应提供</w:t>
      </w:r>
      <w:r w:rsidRPr="009C7F0C">
        <w:rPr>
          <w:rFonts w:ascii="仿宋_GB2312" w:hAnsi="宋体" w:cs="Times New Roman"/>
          <w:szCs w:val="32"/>
        </w:rPr>
        <w:t>各</w:t>
      </w:r>
      <w:r w:rsidRPr="009C7F0C">
        <w:rPr>
          <w:rFonts w:ascii="仿宋_GB2312" w:hAnsi="宋体" w:cs="Times New Roman" w:hint="eastAsia"/>
          <w:szCs w:val="32"/>
        </w:rPr>
        <w:t>项</w:t>
      </w:r>
      <w:r w:rsidRPr="009C7F0C">
        <w:rPr>
          <w:rFonts w:ascii="仿宋_GB2312" w:hAnsi="宋体" w:cs="Times New Roman"/>
          <w:szCs w:val="32"/>
        </w:rPr>
        <w:t>对比</w:t>
      </w:r>
      <w:r w:rsidRPr="009C7F0C">
        <w:rPr>
          <w:rFonts w:ascii="仿宋_GB2312" w:hAnsi="宋体" w:cs="Times New Roman" w:hint="eastAsia"/>
          <w:szCs w:val="32"/>
        </w:rPr>
        <w:t>研究</w:t>
      </w:r>
      <w:r w:rsidRPr="009C7F0C">
        <w:rPr>
          <w:rFonts w:ascii="仿宋_GB2312" w:hAnsi="宋体" w:cs="Times New Roman"/>
          <w:szCs w:val="32"/>
        </w:rPr>
        <w:t>所采用的分析方法</w:t>
      </w:r>
      <w:r w:rsidRPr="009C7F0C">
        <w:rPr>
          <w:rFonts w:ascii="仿宋_GB2312" w:hAnsi="宋体" w:cs="Times New Roman" w:hint="eastAsia"/>
          <w:szCs w:val="32"/>
        </w:rPr>
        <w:t>和必要的方法</w:t>
      </w:r>
      <w:r w:rsidRPr="009C7F0C">
        <w:rPr>
          <w:rFonts w:ascii="仿宋_GB2312" w:hAnsi="宋体" w:cs="Times New Roman"/>
          <w:szCs w:val="32"/>
        </w:rPr>
        <w:t>学验证资料，明确评价</w:t>
      </w:r>
      <w:r w:rsidRPr="009C7F0C">
        <w:rPr>
          <w:rFonts w:ascii="仿宋_GB2312" w:hAnsi="宋体" w:cs="Times New Roman" w:hint="eastAsia"/>
          <w:szCs w:val="32"/>
        </w:rPr>
        <w:t>指标</w:t>
      </w:r>
      <w:r w:rsidRPr="009C7F0C">
        <w:rPr>
          <w:rFonts w:ascii="仿宋_GB2312" w:hAnsi="宋体" w:cs="Times New Roman"/>
          <w:szCs w:val="32"/>
        </w:rPr>
        <w:t>、</w:t>
      </w:r>
      <w:r w:rsidRPr="009C7F0C">
        <w:rPr>
          <w:rFonts w:ascii="仿宋_GB2312" w:hAnsi="宋体" w:cs="Times New Roman" w:hint="eastAsia"/>
          <w:szCs w:val="32"/>
        </w:rPr>
        <w:t>标准</w:t>
      </w:r>
      <w:r w:rsidRPr="009C7F0C">
        <w:rPr>
          <w:rFonts w:ascii="仿宋_GB2312" w:hAnsi="宋体" w:cs="Times New Roman"/>
          <w:szCs w:val="32"/>
        </w:rPr>
        <w:t>及确定依据。</w:t>
      </w:r>
    </w:p>
    <w:p w14:paraId="1F332B9B"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建议采用至少三批商业化规模工艺生产的仿制品与多批参比制剂进行体外对比研究。</w:t>
      </w:r>
    </w:p>
    <w:p w14:paraId="091C91FF"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4.稳定性研究</w:t>
      </w:r>
    </w:p>
    <w:p w14:paraId="281993B4"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应</w:t>
      </w:r>
      <w:r w:rsidRPr="009C7F0C">
        <w:rPr>
          <w:rFonts w:ascii="仿宋_GB2312" w:hAnsi="宋体" w:cs="Times New Roman"/>
          <w:szCs w:val="32"/>
        </w:rPr>
        <w:t>进行常规稳定性</w:t>
      </w:r>
      <w:r w:rsidRPr="009C7F0C">
        <w:rPr>
          <w:rFonts w:ascii="仿宋_GB2312" w:hAnsi="宋体" w:cs="Times New Roman" w:hint="eastAsia"/>
          <w:szCs w:val="32"/>
        </w:rPr>
        <w:t>考察，并</w:t>
      </w:r>
      <w:r w:rsidRPr="009C7F0C">
        <w:rPr>
          <w:rFonts w:ascii="仿宋_GB2312" w:hAnsi="宋体" w:cs="Times New Roman"/>
          <w:szCs w:val="32"/>
        </w:rPr>
        <w:t>结合产品说明书开展使用中产品稳定性</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稳定</w:t>
      </w:r>
      <w:r w:rsidRPr="009C7F0C">
        <w:rPr>
          <w:rFonts w:ascii="仿宋_GB2312" w:hAnsi="宋体" w:cs="Times New Roman"/>
          <w:szCs w:val="32"/>
        </w:rPr>
        <w:t>性考察指标</w:t>
      </w:r>
      <w:r w:rsidRPr="009C7F0C">
        <w:rPr>
          <w:rFonts w:ascii="仿宋_GB2312" w:hAnsi="宋体" w:cs="Times New Roman" w:hint="eastAsia"/>
          <w:szCs w:val="32"/>
        </w:rPr>
        <w:t>除普通注射</w:t>
      </w:r>
      <w:r w:rsidRPr="009C7F0C">
        <w:rPr>
          <w:rFonts w:ascii="仿宋_GB2312" w:hAnsi="宋体" w:cs="Times New Roman"/>
          <w:szCs w:val="32"/>
        </w:rPr>
        <w:t>剂</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hint="eastAsia"/>
          <w:szCs w:val="32"/>
        </w:rPr>
        <w:t>外</w:t>
      </w:r>
      <w:r w:rsidRPr="009C7F0C">
        <w:rPr>
          <w:rFonts w:ascii="仿宋_GB2312" w:hAnsi="宋体" w:cs="Times New Roman"/>
          <w:szCs w:val="32"/>
        </w:rPr>
        <w:t>，还应</w:t>
      </w:r>
      <w:r w:rsidRPr="009C7F0C">
        <w:rPr>
          <w:rFonts w:ascii="仿宋_GB2312" w:hAnsi="宋体" w:cs="Times New Roman" w:hint="eastAsia"/>
          <w:szCs w:val="32"/>
        </w:rPr>
        <w:t>包括微</w:t>
      </w:r>
      <w:r w:rsidRPr="009C7F0C">
        <w:rPr>
          <w:rFonts w:ascii="仿宋_GB2312" w:hAnsi="宋体" w:cs="Times New Roman"/>
          <w:szCs w:val="32"/>
        </w:rPr>
        <w:t>粒制剂</w:t>
      </w:r>
      <w:r w:rsidRPr="009C7F0C">
        <w:rPr>
          <w:rFonts w:ascii="仿宋_GB2312" w:hAnsi="宋体" w:cs="Times New Roman" w:hint="eastAsia"/>
          <w:szCs w:val="32"/>
        </w:rPr>
        <w:t>相</w:t>
      </w:r>
      <w:r w:rsidRPr="009C7F0C">
        <w:rPr>
          <w:rFonts w:ascii="仿宋_GB2312" w:hAnsi="宋体" w:cs="Times New Roman"/>
          <w:szCs w:val="32"/>
        </w:rPr>
        <w:t>关的</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hint="eastAsia"/>
          <w:szCs w:val="32"/>
        </w:rPr>
        <w:t>（如，包封药物的状态、体外释放度、脂质体形态、粒度和粒度分布、Zeta电位等）。</w:t>
      </w:r>
    </w:p>
    <w:p w14:paraId="78443B17"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应</w:t>
      </w:r>
      <w:r w:rsidRPr="009C7F0C">
        <w:rPr>
          <w:rFonts w:ascii="仿宋_GB2312" w:hAnsi="宋体" w:cs="Times New Roman"/>
          <w:szCs w:val="32"/>
        </w:rPr>
        <w:t>结合产品特点、</w:t>
      </w:r>
      <w:r w:rsidRPr="009C7F0C">
        <w:rPr>
          <w:rFonts w:ascii="仿宋_GB2312" w:hAnsi="宋体" w:cs="Times New Roman" w:hint="eastAsia"/>
          <w:szCs w:val="32"/>
        </w:rPr>
        <w:t>稳定性、包材相容</w:t>
      </w:r>
      <w:r w:rsidRPr="009C7F0C">
        <w:rPr>
          <w:rFonts w:ascii="仿宋_GB2312" w:hAnsi="宋体" w:cs="Times New Roman"/>
          <w:szCs w:val="32"/>
        </w:rPr>
        <w:t>性</w:t>
      </w:r>
      <w:r w:rsidRPr="009C7F0C">
        <w:rPr>
          <w:rFonts w:ascii="仿宋_GB2312" w:hAnsi="宋体" w:cs="Times New Roman" w:hint="eastAsia"/>
          <w:szCs w:val="32"/>
        </w:rPr>
        <w:t>和容器密封性等研究结果证明包材选择合理。</w:t>
      </w:r>
      <w:r w:rsidRPr="009C7F0C">
        <w:rPr>
          <w:rFonts w:ascii="仿宋_GB2312" w:hAnsi="宋体" w:cs="Times New Roman"/>
          <w:szCs w:val="32"/>
        </w:rPr>
        <w:t>包材</w:t>
      </w:r>
      <w:r w:rsidRPr="009C7F0C">
        <w:rPr>
          <w:rFonts w:ascii="仿宋_GB2312" w:hAnsi="宋体" w:cs="Times New Roman" w:hint="eastAsia"/>
          <w:szCs w:val="32"/>
        </w:rPr>
        <w:t>相容</w:t>
      </w:r>
      <w:r w:rsidRPr="009C7F0C">
        <w:rPr>
          <w:rFonts w:ascii="仿宋_GB2312" w:hAnsi="宋体" w:cs="Times New Roman"/>
          <w:szCs w:val="32"/>
        </w:rPr>
        <w:t>性应</w:t>
      </w:r>
      <w:r w:rsidRPr="009C7F0C">
        <w:rPr>
          <w:rFonts w:ascii="仿宋_GB2312" w:hAnsi="宋体" w:cs="Times New Roman" w:hint="eastAsia"/>
          <w:szCs w:val="32"/>
        </w:rPr>
        <w:t>参照</w:t>
      </w:r>
      <w:r w:rsidRPr="009C7F0C">
        <w:rPr>
          <w:rFonts w:ascii="仿宋_GB2312" w:hAnsi="宋体" w:cs="Times New Roman"/>
          <w:szCs w:val="32"/>
        </w:rPr>
        <w:t>相关指导原则进行。</w:t>
      </w:r>
    </w:p>
    <w:p w14:paraId="6C9BC99E" w14:textId="77777777" w:rsidR="009C7F0C" w:rsidRPr="009C7F0C" w:rsidRDefault="009C7F0C" w:rsidP="009C7F0C">
      <w:pPr>
        <w:spacing w:line="360" w:lineRule="auto"/>
        <w:ind w:firstLineChars="200" w:firstLine="640"/>
        <w:outlineLvl w:val="1"/>
        <w:rPr>
          <w:rFonts w:ascii="楷体_GB2312" w:eastAsia="楷体_GB2312" w:hAnsi="宋体" w:cs="Times New Roman"/>
          <w:szCs w:val="32"/>
        </w:rPr>
      </w:pPr>
      <w:r w:rsidRPr="009C7F0C">
        <w:rPr>
          <w:rFonts w:ascii="楷体_GB2312" w:eastAsia="楷体_GB2312" w:hAnsi="宋体" w:cs="Times New Roman" w:hint="eastAsia"/>
          <w:szCs w:val="32"/>
        </w:rPr>
        <w:t>（二）非临床研究</w:t>
      </w:r>
    </w:p>
    <w:p w14:paraId="2F9295FB"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1.盐酸</w:t>
      </w:r>
      <w:proofErr w:type="gramStart"/>
      <w:r w:rsidRPr="009C7F0C">
        <w:rPr>
          <w:rFonts w:ascii="仿宋_GB2312" w:hAnsi="仿宋" w:cs="宋体" w:hint="eastAsia"/>
          <w:szCs w:val="32"/>
        </w:rPr>
        <w:t>多柔比</w:t>
      </w:r>
      <w:proofErr w:type="gramEnd"/>
      <w:r w:rsidRPr="009C7F0C">
        <w:rPr>
          <w:rFonts w:ascii="仿宋_GB2312" w:hAnsi="仿宋" w:cs="宋体" w:hint="eastAsia"/>
          <w:szCs w:val="32"/>
        </w:rPr>
        <w:t>星脂质体注射液是一种特殊注射剂，进入体内后</w:t>
      </w:r>
      <w:proofErr w:type="gramStart"/>
      <w:r w:rsidRPr="009C7F0C">
        <w:rPr>
          <w:rFonts w:ascii="仿宋_GB2312" w:hAnsi="仿宋" w:cs="宋体" w:hint="eastAsia"/>
          <w:szCs w:val="32"/>
        </w:rPr>
        <w:t>存在释药的</w:t>
      </w:r>
      <w:proofErr w:type="gramEnd"/>
      <w:r w:rsidRPr="009C7F0C">
        <w:rPr>
          <w:rFonts w:ascii="仿宋_GB2312" w:hAnsi="仿宋" w:cs="宋体" w:hint="eastAsia"/>
          <w:szCs w:val="32"/>
        </w:rPr>
        <w:t>过程和体液成分的吸附等，因此仿制药与参比制剂处方和工艺的差异可能导致药物</w:t>
      </w:r>
      <w:proofErr w:type="gramStart"/>
      <w:r w:rsidRPr="009C7F0C">
        <w:rPr>
          <w:rFonts w:ascii="仿宋_GB2312" w:hAnsi="仿宋" w:cs="宋体" w:hint="eastAsia"/>
          <w:szCs w:val="32"/>
        </w:rPr>
        <w:t>体内药</w:t>
      </w:r>
      <w:proofErr w:type="gramEnd"/>
      <w:r w:rsidRPr="009C7F0C">
        <w:rPr>
          <w:rFonts w:ascii="仿宋_GB2312" w:hAnsi="仿宋" w:cs="宋体" w:hint="eastAsia"/>
          <w:szCs w:val="32"/>
        </w:rPr>
        <w:t>代动力学行为发生改变，从而带来有效性和安全性的变化，</w:t>
      </w:r>
      <w:r w:rsidRPr="009C7F0C">
        <w:rPr>
          <w:rFonts w:ascii="仿宋_GB2312" w:hAnsi="仿宋" w:cs="宋体"/>
          <w:szCs w:val="32"/>
        </w:rPr>
        <w:t>建议在</w:t>
      </w:r>
      <w:r w:rsidRPr="009C7F0C">
        <w:rPr>
          <w:rFonts w:ascii="仿宋_GB2312" w:hAnsi="仿宋" w:cs="宋体" w:hint="eastAsia"/>
          <w:szCs w:val="32"/>
        </w:rPr>
        <w:t>临床试验</w:t>
      </w:r>
      <w:r w:rsidRPr="009C7F0C">
        <w:rPr>
          <w:rFonts w:ascii="仿宋_GB2312" w:hAnsi="仿宋" w:cs="宋体"/>
          <w:szCs w:val="32"/>
        </w:rPr>
        <w:t>前开展</w:t>
      </w:r>
      <w:r w:rsidRPr="009C7F0C">
        <w:rPr>
          <w:rFonts w:ascii="仿宋_GB2312" w:hAnsi="宋体" w:cs="Times New Roman" w:hint="eastAsia"/>
          <w:szCs w:val="32"/>
        </w:rPr>
        <w:t>仿制药</w:t>
      </w:r>
      <w:r w:rsidRPr="009C7F0C">
        <w:rPr>
          <w:rFonts w:ascii="仿宋_GB2312" w:hAnsi="仿宋" w:cs="宋体"/>
          <w:szCs w:val="32"/>
        </w:rPr>
        <w:t>与</w:t>
      </w:r>
      <w:r w:rsidRPr="009C7F0C">
        <w:rPr>
          <w:rFonts w:ascii="仿宋_GB2312" w:hAnsi="仿宋" w:cs="宋体" w:hint="eastAsia"/>
          <w:szCs w:val="32"/>
        </w:rPr>
        <w:t>参比制剂</w:t>
      </w:r>
      <w:r w:rsidRPr="009C7F0C">
        <w:rPr>
          <w:rFonts w:ascii="仿宋_GB2312" w:hAnsi="仿宋" w:cs="宋体"/>
          <w:szCs w:val="32"/>
        </w:rPr>
        <w:t>比较的药代动力学研究</w:t>
      </w:r>
      <w:r w:rsidRPr="009C7F0C">
        <w:rPr>
          <w:rFonts w:ascii="仿宋_GB2312" w:hAnsi="仿宋" w:cs="宋体" w:hint="eastAsia"/>
          <w:szCs w:val="32"/>
        </w:rPr>
        <w:t>，充分提示仿制药与参比制剂在药代动力学行为的一致性。</w:t>
      </w:r>
    </w:p>
    <w:p w14:paraId="25908119"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通常选择非啮齿类</w:t>
      </w:r>
      <w:r w:rsidRPr="009C7F0C">
        <w:rPr>
          <w:rFonts w:ascii="仿宋_GB2312" w:hAnsi="仿宋" w:cs="宋体"/>
          <w:szCs w:val="32"/>
        </w:rPr>
        <w:t>动物</w:t>
      </w:r>
      <w:r w:rsidRPr="009C7F0C">
        <w:rPr>
          <w:rFonts w:ascii="仿宋_GB2312" w:hAnsi="仿宋" w:cs="宋体" w:hint="eastAsia"/>
          <w:szCs w:val="32"/>
        </w:rPr>
        <w:t>进行</w:t>
      </w:r>
      <w:r w:rsidRPr="009C7F0C">
        <w:rPr>
          <w:rFonts w:ascii="仿宋_GB2312" w:hAnsi="仿宋" w:cs="宋体"/>
          <w:szCs w:val="32"/>
        </w:rPr>
        <w:t>药代动力学比较研究。采用拟定临床剂量和给药途径，</w:t>
      </w:r>
      <w:r w:rsidRPr="009C7F0C">
        <w:rPr>
          <w:rFonts w:ascii="仿宋_GB2312" w:hAnsi="仿宋" w:cs="宋体" w:hint="eastAsia"/>
          <w:szCs w:val="32"/>
        </w:rPr>
        <w:t>设置参比制剂组</w:t>
      </w:r>
      <w:r w:rsidRPr="009C7F0C">
        <w:rPr>
          <w:rFonts w:ascii="仿宋_GB2312" w:hAnsi="仿宋" w:cs="宋体"/>
          <w:szCs w:val="32"/>
        </w:rPr>
        <w:t>，测定血浆中总</w:t>
      </w:r>
      <w:proofErr w:type="gramStart"/>
      <w:r w:rsidRPr="009C7F0C">
        <w:rPr>
          <w:rFonts w:ascii="仿宋_GB2312" w:hAnsi="仿宋" w:cs="宋体" w:hint="eastAsia"/>
          <w:szCs w:val="32"/>
        </w:rPr>
        <w:lastRenderedPageBreak/>
        <w:t>多柔比</w:t>
      </w:r>
      <w:proofErr w:type="gramEnd"/>
      <w:r w:rsidRPr="009C7F0C">
        <w:rPr>
          <w:rFonts w:ascii="仿宋_GB2312" w:hAnsi="仿宋" w:cs="宋体" w:hint="eastAsia"/>
          <w:szCs w:val="32"/>
        </w:rPr>
        <w:t>星</w:t>
      </w:r>
      <w:r w:rsidRPr="009C7F0C">
        <w:rPr>
          <w:rFonts w:ascii="仿宋_GB2312" w:hAnsi="仿宋" w:cs="宋体"/>
          <w:szCs w:val="32"/>
        </w:rPr>
        <w:t>含量和</w:t>
      </w:r>
      <w:r w:rsidRPr="009C7F0C">
        <w:rPr>
          <w:rFonts w:ascii="仿宋_GB2312" w:hAnsi="仿宋" w:cs="宋体" w:hint="eastAsia"/>
          <w:szCs w:val="32"/>
        </w:rPr>
        <w:t>游离的</w:t>
      </w:r>
      <w:proofErr w:type="gramStart"/>
      <w:r w:rsidRPr="009C7F0C">
        <w:rPr>
          <w:rFonts w:ascii="仿宋_GB2312" w:hAnsi="仿宋" w:cs="宋体" w:hint="eastAsia"/>
          <w:szCs w:val="32"/>
        </w:rPr>
        <w:t>多柔比</w:t>
      </w:r>
      <w:proofErr w:type="gramEnd"/>
      <w:r w:rsidRPr="009C7F0C">
        <w:rPr>
          <w:rFonts w:ascii="仿宋_GB2312" w:hAnsi="仿宋" w:cs="宋体" w:hint="eastAsia"/>
          <w:szCs w:val="32"/>
        </w:rPr>
        <w:t>星浓度</w:t>
      </w:r>
      <w:r w:rsidRPr="009C7F0C">
        <w:rPr>
          <w:rFonts w:ascii="仿宋_GB2312" w:hAnsi="仿宋" w:cs="宋体"/>
          <w:szCs w:val="32"/>
        </w:rPr>
        <w:t>，获得</w:t>
      </w:r>
      <w:r w:rsidRPr="009C7F0C">
        <w:rPr>
          <w:rFonts w:ascii="仿宋_GB2312" w:hAnsi="仿宋" w:cs="宋体" w:hint="eastAsia"/>
          <w:szCs w:val="32"/>
        </w:rPr>
        <w:t>t</w:t>
      </w:r>
      <w:r w:rsidRPr="009C7F0C">
        <w:rPr>
          <w:rFonts w:ascii="仿宋_GB2312" w:hAnsi="仿宋" w:cs="宋体"/>
          <w:szCs w:val="32"/>
          <w:vertAlign w:val="subscript"/>
        </w:rPr>
        <w:t>1/2</w:t>
      </w:r>
      <w:r w:rsidRPr="009C7F0C">
        <w:rPr>
          <w:rFonts w:ascii="仿宋_GB2312" w:hAnsi="仿宋" w:cs="宋体" w:hint="eastAsia"/>
          <w:szCs w:val="32"/>
        </w:rPr>
        <w:t>、</w:t>
      </w:r>
      <w:proofErr w:type="spellStart"/>
      <w:r w:rsidRPr="009C7F0C">
        <w:rPr>
          <w:rFonts w:ascii="仿宋_GB2312" w:hAnsi="仿宋" w:cs="宋体"/>
          <w:szCs w:val="32"/>
        </w:rPr>
        <w:t>C</w:t>
      </w:r>
      <w:r w:rsidRPr="009C7F0C">
        <w:rPr>
          <w:rFonts w:ascii="仿宋_GB2312" w:hAnsi="仿宋" w:cs="宋体"/>
          <w:szCs w:val="32"/>
          <w:vertAlign w:val="subscript"/>
        </w:rPr>
        <w:t>max</w:t>
      </w:r>
      <w:proofErr w:type="spellEnd"/>
      <w:r w:rsidRPr="009C7F0C">
        <w:rPr>
          <w:rFonts w:ascii="仿宋_GB2312" w:hAnsi="仿宋" w:cs="宋体"/>
          <w:szCs w:val="32"/>
        </w:rPr>
        <w:t>、AUC、</w:t>
      </w:r>
      <w:proofErr w:type="spellStart"/>
      <w:r w:rsidRPr="009C7F0C">
        <w:rPr>
          <w:rFonts w:ascii="仿宋_GB2312" w:hAnsi="仿宋" w:cs="宋体" w:hint="eastAsia"/>
          <w:szCs w:val="32"/>
        </w:rPr>
        <w:t>Vz</w:t>
      </w:r>
      <w:proofErr w:type="spellEnd"/>
      <w:r w:rsidRPr="009C7F0C">
        <w:rPr>
          <w:rFonts w:ascii="仿宋_GB2312" w:hAnsi="仿宋" w:cs="宋体"/>
          <w:szCs w:val="32"/>
        </w:rPr>
        <w:t>、Cl</w:t>
      </w:r>
      <w:r w:rsidRPr="009C7F0C">
        <w:rPr>
          <w:rFonts w:ascii="仿宋_GB2312" w:hAnsi="仿宋" w:cs="宋体" w:hint="eastAsia"/>
          <w:szCs w:val="32"/>
        </w:rPr>
        <w:t>、</w:t>
      </w:r>
      <w:r w:rsidRPr="009C7F0C">
        <w:rPr>
          <w:rFonts w:ascii="仿宋_GB2312" w:hAnsi="仿宋" w:cs="宋体"/>
          <w:szCs w:val="32"/>
        </w:rPr>
        <w:t>MRT等主要药代参数的比较研究结果。</w:t>
      </w:r>
      <w:r w:rsidRPr="009C7F0C">
        <w:rPr>
          <w:rFonts w:ascii="仿宋_GB2312" w:hAnsi="仿宋" w:cs="宋体" w:hint="eastAsia"/>
          <w:szCs w:val="32"/>
        </w:rPr>
        <w:t>鉴于通常只有释放药物才能在体内发挥活性，在进行血药浓度测定时需分别考察结合型药物和释放药物的暴露量。</w:t>
      </w:r>
    </w:p>
    <w:p w14:paraId="33B5576D"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szCs w:val="32"/>
        </w:rPr>
        <w:t>2.</w:t>
      </w:r>
      <w:r w:rsidRPr="009C7F0C">
        <w:rPr>
          <w:rFonts w:ascii="仿宋_GB2312" w:hAnsi="仿宋" w:cs="宋体" w:hint="eastAsia"/>
          <w:szCs w:val="32"/>
        </w:rPr>
        <w:t>采用</w:t>
      </w:r>
      <w:r w:rsidRPr="009C7F0C">
        <w:rPr>
          <w:rFonts w:ascii="仿宋_GB2312" w:hAnsi="仿宋" w:cs="宋体"/>
          <w:szCs w:val="32"/>
        </w:rPr>
        <w:t>荷瘤动物开展组织分布的比较研究，</w:t>
      </w:r>
      <w:r w:rsidRPr="009C7F0C">
        <w:rPr>
          <w:rFonts w:ascii="仿宋_GB2312" w:hAnsi="仿宋" w:cs="宋体" w:hint="eastAsia"/>
          <w:szCs w:val="32"/>
        </w:rPr>
        <w:t>剂量通常设置为有效剂量，至少测定给药后血液</w:t>
      </w:r>
      <w:r w:rsidRPr="009C7F0C">
        <w:rPr>
          <w:rFonts w:ascii="仿宋_GB2312" w:hAnsi="仿宋" w:cs="宋体"/>
          <w:szCs w:val="32"/>
        </w:rPr>
        <w:t>、</w:t>
      </w:r>
      <w:r w:rsidRPr="009C7F0C">
        <w:rPr>
          <w:rFonts w:ascii="仿宋_GB2312" w:hAnsi="仿宋" w:cs="宋体" w:hint="eastAsia"/>
          <w:szCs w:val="32"/>
        </w:rPr>
        <w:t>肿瘤</w:t>
      </w:r>
      <w:r w:rsidRPr="009C7F0C">
        <w:rPr>
          <w:rFonts w:ascii="仿宋_GB2312" w:hAnsi="仿宋" w:cs="宋体"/>
          <w:szCs w:val="32"/>
        </w:rPr>
        <w:t>组织</w:t>
      </w:r>
      <w:r w:rsidRPr="009C7F0C">
        <w:rPr>
          <w:rFonts w:ascii="仿宋_GB2312" w:hAnsi="仿宋" w:cs="宋体" w:hint="eastAsia"/>
          <w:szCs w:val="32"/>
        </w:rPr>
        <w:t>、心脏和内质网较为丰富的组织（如肝、肾）的药物浓度，</w:t>
      </w:r>
      <w:r w:rsidRPr="009C7F0C">
        <w:rPr>
          <w:rFonts w:ascii="仿宋_GB2312" w:hAnsi="仿宋" w:cs="宋体"/>
          <w:szCs w:val="32"/>
        </w:rPr>
        <w:t>比较正常组织和肿瘤组织与血液中的</w:t>
      </w:r>
      <w:proofErr w:type="gramStart"/>
      <w:r w:rsidRPr="009C7F0C">
        <w:rPr>
          <w:rFonts w:ascii="仿宋_GB2312" w:hAnsi="仿宋" w:cs="宋体" w:hint="eastAsia"/>
          <w:szCs w:val="32"/>
        </w:rPr>
        <w:t>多柔比星</w:t>
      </w:r>
      <w:r w:rsidRPr="009C7F0C">
        <w:rPr>
          <w:rFonts w:ascii="仿宋_GB2312" w:hAnsi="仿宋" w:cs="宋体"/>
          <w:szCs w:val="32"/>
        </w:rPr>
        <w:t>药物</w:t>
      </w:r>
      <w:proofErr w:type="gramEnd"/>
      <w:r w:rsidRPr="009C7F0C">
        <w:rPr>
          <w:rFonts w:ascii="仿宋_GB2312" w:hAnsi="仿宋" w:cs="宋体"/>
          <w:szCs w:val="32"/>
        </w:rPr>
        <w:t>暴露量及其比值</w:t>
      </w:r>
      <w:r w:rsidRPr="009C7F0C">
        <w:rPr>
          <w:rFonts w:ascii="仿宋_GB2312" w:hAnsi="仿宋" w:cs="宋体" w:hint="eastAsia"/>
          <w:szCs w:val="32"/>
        </w:rPr>
        <w:t>的差异，同时设置参比制剂</w:t>
      </w:r>
      <w:r w:rsidRPr="009C7F0C">
        <w:rPr>
          <w:rFonts w:ascii="仿宋_GB2312" w:hAnsi="仿宋" w:cs="宋体"/>
          <w:szCs w:val="32"/>
        </w:rPr>
        <w:t>组，比较仿制</w:t>
      </w:r>
      <w:r w:rsidRPr="009C7F0C">
        <w:rPr>
          <w:rFonts w:ascii="仿宋_GB2312" w:hAnsi="仿宋" w:cs="宋体" w:hint="eastAsia"/>
          <w:szCs w:val="32"/>
        </w:rPr>
        <w:t>药</w:t>
      </w:r>
      <w:r w:rsidRPr="009C7F0C">
        <w:rPr>
          <w:rFonts w:ascii="仿宋_GB2312" w:hAnsi="仿宋" w:cs="宋体"/>
          <w:szCs w:val="32"/>
        </w:rPr>
        <w:t>与</w:t>
      </w:r>
      <w:r w:rsidRPr="009C7F0C">
        <w:rPr>
          <w:rFonts w:ascii="仿宋_GB2312" w:hAnsi="仿宋" w:cs="宋体" w:hint="eastAsia"/>
          <w:szCs w:val="32"/>
        </w:rPr>
        <w:t>参比制剂在体内主要组织分布的</w:t>
      </w:r>
      <w:r w:rsidRPr="009C7F0C">
        <w:rPr>
          <w:rFonts w:ascii="仿宋_GB2312" w:hAnsi="仿宋" w:cs="宋体"/>
          <w:szCs w:val="32"/>
        </w:rPr>
        <w:t>差异</w:t>
      </w:r>
      <w:r w:rsidRPr="009C7F0C">
        <w:rPr>
          <w:rFonts w:ascii="仿宋_GB2312" w:hAnsi="仿宋" w:cs="宋体" w:hint="eastAsia"/>
          <w:szCs w:val="32"/>
        </w:rPr>
        <w:t>。</w:t>
      </w:r>
    </w:p>
    <w:p w14:paraId="4EE7C50B"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3</w:t>
      </w:r>
      <w:r w:rsidRPr="009C7F0C">
        <w:rPr>
          <w:rFonts w:ascii="仿宋_GB2312" w:hAnsi="仿宋" w:cs="宋体"/>
          <w:szCs w:val="32"/>
        </w:rPr>
        <w:t>.开展制剂安全性试验，</w:t>
      </w:r>
      <w:r w:rsidRPr="009C7F0C">
        <w:rPr>
          <w:rFonts w:ascii="仿宋_GB2312" w:hAnsi="仿宋" w:cs="宋体" w:hint="eastAsia"/>
          <w:szCs w:val="32"/>
        </w:rPr>
        <w:t>并</w:t>
      </w:r>
      <w:r w:rsidRPr="009C7F0C">
        <w:rPr>
          <w:rFonts w:ascii="仿宋_GB2312" w:hAnsi="仿宋" w:cs="宋体"/>
          <w:szCs w:val="32"/>
        </w:rPr>
        <w:t>与</w:t>
      </w:r>
      <w:r w:rsidRPr="009C7F0C">
        <w:rPr>
          <w:rFonts w:ascii="仿宋_GB2312" w:hAnsi="仿宋" w:cs="宋体" w:hint="eastAsia"/>
          <w:szCs w:val="32"/>
        </w:rPr>
        <w:t>参比制剂</w:t>
      </w:r>
      <w:r w:rsidRPr="009C7F0C">
        <w:rPr>
          <w:rFonts w:ascii="仿宋_GB2312" w:hAnsi="仿宋" w:cs="宋体"/>
          <w:szCs w:val="32"/>
        </w:rPr>
        <w:t>比较。</w:t>
      </w:r>
    </w:p>
    <w:p w14:paraId="2C7F05AC" w14:textId="77777777" w:rsidR="009C7F0C" w:rsidRPr="009C7F0C" w:rsidRDefault="009C7F0C" w:rsidP="009C7F0C">
      <w:pPr>
        <w:adjustRightInd w:val="0"/>
        <w:spacing w:beforeLines="50" w:before="156" w:line="360" w:lineRule="auto"/>
        <w:ind w:firstLineChars="200" w:firstLine="640"/>
        <w:outlineLvl w:val="1"/>
        <w:rPr>
          <w:rFonts w:ascii="仿宋_GB2312" w:hAnsi="宋体" w:cs="Times New Roman"/>
          <w:szCs w:val="32"/>
          <w:vertAlign w:val="superscript"/>
        </w:rPr>
      </w:pPr>
      <w:r w:rsidRPr="009C7F0C">
        <w:rPr>
          <w:rFonts w:ascii="楷体_GB2312" w:eastAsia="楷体_GB2312" w:hAnsi="宋体" w:cs="Times New Roman" w:hint="eastAsia"/>
          <w:szCs w:val="32"/>
        </w:rPr>
        <w:t>（三）人体生物等效性研究</w:t>
      </w:r>
      <w:r w:rsidRPr="009C7F0C">
        <w:rPr>
          <w:rFonts w:ascii="仿宋_GB2312" w:hAnsi="宋体" w:cs="Times New Roman"/>
          <w:szCs w:val="32"/>
          <w:vertAlign w:val="superscript"/>
        </w:rPr>
        <w:t>1,7,8,9,10</w:t>
      </w:r>
    </w:p>
    <w:p w14:paraId="200966B0" w14:textId="77777777" w:rsidR="009C7F0C" w:rsidRPr="009C7F0C" w:rsidRDefault="009C7F0C" w:rsidP="009C7F0C">
      <w:pPr>
        <w:adjustRightInd w:val="0"/>
        <w:spacing w:line="360" w:lineRule="auto"/>
        <w:ind w:firstLineChars="200" w:firstLine="640"/>
        <w:rPr>
          <w:rFonts w:ascii="仿宋_GB2312" w:hAnsi="宋体" w:cs="Times New Roman"/>
          <w:color w:val="000000"/>
          <w:szCs w:val="32"/>
        </w:rPr>
      </w:pPr>
      <w:r w:rsidRPr="009C7F0C">
        <w:rPr>
          <w:rFonts w:ascii="仿宋_GB2312" w:hAnsi="宋体" w:cs="宋体" w:hint="eastAsia"/>
          <w:color w:val="000000"/>
          <w:kern w:val="0"/>
          <w:szCs w:val="32"/>
        </w:rPr>
        <w:t>研究类型：以药代动力学</w:t>
      </w:r>
      <w:r w:rsidRPr="009C7F0C">
        <w:rPr>
          <w:rFonts w:ascii="Times New Roman" w:hAnsi="Times New Roman" w:cs="Times New Roman" w:hint="eastAsia"/>
          <w:color w:val="000000"/>
          <w:kern w:val="0"/>
          <w:szCs w:val="32"/>
        </w:rPr>
        <w:t>（</w:t>
      </w:r>
      <w:r w:rsidRPr="009C7F0C">
        <w:rPr>
          <w:rFonts w:ascii="Times New Roman" w:hAnsi="Times New Roman" w:cs="Times New Roman"/>
          <w:color w:val="000000"/>
          <w:kern w:val="0"/>
          <w:szCs w:val="32"/>
        </w:rPr>
        <w:t>PK</w:t>
      </w:r>
      <w:r w:rsidRPr="009C7F0C">
        <w:rPr>
          <w:rFonts w:ascii="Times New Roman" w:hAnsi="Times New Roman" w:cs="Times New Roman"/>
          <w:color w:val="000000"/>
          <w:kern w:val="0"/>
          <w:szCs w:val="32"/>
        </w:rPr>
        <w:t>）为</w:t>
      </w:r>
      <w:r w:rsidRPr="009C7F0C">
        <w:rPr>
          <w:rFonts w:ascii="仿宋_GB2312" w:hAnsi="宋体" w:cs="宋体"/>
          <w:color w:val="000000"/>
          <w:kern w:val="0"/>
          <w:szCs w:val="32"/>
        </w:rPr>
        <w:t>终点的生物等效性研究</w:t>
      </w:r>
      <w:r w:rsidRPr="009C7F0C">
        <w:rPr>
          <w:rFonts w:ascii="仿宋_GB2312" w:hAnsi="宋体" w:cs="宋体" w:hint="eastAsia"/>
          <w:color w:val="000000"/>
          <w:kern w:val="0"/>
          <w:szCs w:val="32"/>
        </w:rPr>
        <w:t>，空腹试验。如果病人的健康状况不允许禁食，申办者可在研究期间提供非</w:t>
      </w:r>
      <w:r w:rsidRPr="009C7F0C">
        <w:rPr>
          <w:rFonts w:ascii="仿宋_GB2312" w:hAnsi="宋体" w:cs="宋体"/>
          <w:color w:val="000000"/>
          <w:kern w:val="0"/>
          <w:szCs w:val="32"/>
        </w:rPr>
        <w:t>高脂餐</w:t>
      </w:r>
      <w:r w:rsidRPr="009C7F0C">
        <w:rPr>
          <w:rFonts w:ascii="仿宋_GB2312" w:hAnsi="宋体" w:cs="宋体" w:hint="eastAsia"/>
          <w:color w:val="000000"/>
          <w:kern w:val="0"/>
          <w:szCs w:val="32"/>
        </w:rPr>
        <w:t>，或可在标准（非高脂餐）早餐2小时后开始治疗。</w:t>
      </w:r>
    </w:p>
    <w:p w14:paraId="23B52131" w14:textId="77777777" w:rsidR="009C7F0C" w:rsidRPr="009C7F0C" w:rsidRDefault="009C7F0C" w:rsidP="009C7F0C">
      <w:pPr>
        <w:adjustRightInd w:val="0"/>
        <w:spacing w:line="360" w:lineRule="auto"/>
        <w:ind w:firstLineChars="200" w:firstLine="640"/>
        <w:rPr>
          <w:rFonts w:ascii="仿宋_GB2312" w:hAnsi="宋体" w:cs="Times New Roman"/>
          <w:color w:val="000000"/>
          <w:szCs w:val="32"/>
        </w:rPr>
      </w:pPr>
      <w:r w:rsidRPr="009C7F0C">
        <w:rPr>
          <w:rFonts w:ascii="Times New Roman" w:hAnsi="Times New Roman" w:cs="Times New Roman" w:hint="eastAsia"/>
          <w:szCs w:val="32"/>
        </w:rPr>
        <w:t>研究</w:t>
      </w:r>
      <w:r w:rsidRPr="009C7F0C">
        <w:rPr>
          <w:rFonts w:ascii="仿宋_GB2312" w:hAnsi="宋体" w:cs="宋体" w:hint="eastAsia"/>
          <w:color w:val="000000"/>
          <w:kern w:val="0"/>
          <w:szCs w:val="32"/>
        </w:rPr>
        <w:t>设计：</w:t>
      </w:r>
      <w:r w:rsidRPr="009C7F0C">
        <w:rPr>
          <w:rFonts w:ascii="Times New Roman" w:hAnsi="Times New Roman" w:cs="Times New Roman"/>
          <w:szCs w:val="32"/>
        </w:rPr>
        <w:t>通常</w:t>
      </w:r>
      <w:r w:rsidRPr="009C7F0C">
        <w:rPr>
          <w:rFonts w:ascii="Times New Roman" w:hAnsi="Times New Roman" w:cs="Times New Roman" w:hint="eastAsia"/>
          <w:szCs w:val="32"/>
        </w:rPr>
        <w:t>推荐</w:t>
      </w:r>
      <w:r w:rsidRPr="009C7F0C">
        <w:rPr>
          <w:rFonts w:ascii="Times New Roman" w:hAnsi="Times New Roman" w:cs="Times New Roman"/>
          <w:szCs w:val="32"/>
        </w:rPr>
        <w:t>采用</w:t>
      </w:r>
      <w:r w:rsidRPr="009C7F0C">
        <w:rPr>
          <w:rFonts w:ascii="仿宋_GB2312" w:hAnsi="宋体" w:cs="宋体" w:hint="eastAsia"/>
          <w:color w:val="000000"/>
          <w:kern w:val="0"/>
          <w:szCs w:val="32"/>
        </w:rPr>
        <w:t>单次给药、</w:t>
      </w:r>
      <w:r w:rsidRPr="009C7F0C">
        <w:rPr>
          <w:rFonts w:ascii="Times New Roman" w:hAnsi="Times New Roman" w:cs="Times New Roman"/>
          <w:szCs w:val="32"/>
        </w:rPr>
        <w:t>随机、</w:t>
      </w:r>
      <w:r w:rsidRPr="009C7F0C">
        <w:rPr>
          <w:rFonts w:ascii="仿宋_GB2312" w:hAnsi="宋体" w:cs="宋体" w:hint="eastAsia"/>
          <w:color w:val="000000"/>
          <w:kern w:val="0"/>
          <w:szCs w:val="32"/>
        </w:rPr>
        <w:t>交叉</w:t>
      </w:r>
      <w:r w:rsidRPr="009C7F0C">
        <w:rPr>
          <w:rFonts w:ascii="Times New Roman" w:hAnsi="Times New Roman" w:cs="Times New Roman" w:hint="eastAsia"/>
          <w:szCs w:val="32"/>
        </w:rPr>
        <w:t>研究</w:t>
      </w:r>
      <w:r w:rsidRPr="009C7F0C">
        <w:rPr>
          <w:rFonts w:ascii="仿宋_GB2312" w:hAnsi="宋体" w:cs="宋体" w:hint="eastAsia"/>
          <w:color w:val="000000"/>
          <w:kern w:val="0"/>
          <w:szCs w:val="32"/>
        </w:rPr>
        <w:t>设计。</w:t>
      </w:r>
    </w:p>
    <w:p w14:paraId="76C71191" w14:textId="77777777" w:rsidR="009C7F0C" w:rsidRPr="009C7F0C" w:rsidRDefault="009C7F0C" w:rsidP="009C7F0C">
      <w:pPr>
        <w:widowControl/>
        <w:adjustRightInd w:val="0"/>
        <w:spacing w:line="360" w:lineRule="auto"/>
        <w:ind w:firstLineChars="200" w:firstLine="640"/>
        <w:rPr>
          <w:rFonts w:ascii="仿宋_GB2312" w:hAnsi="宋体" w:cs="宋体"/>
          <w:kern w:val="0"/>
          <w:szCs w:val="32"/>
        </w:rPr>
      </w:pPr>
      <w:r w:rsidRPr="009C7F0C">
        <w:rPr>
          <w:rFonts w:ascii="仿宋_GB2312" w:hAnsi="宋体" w:cs="宋体" w:hint="eastAsia"/>
          <w:color w:val="000000"/>
          <w:kern w:val="0"/>
          <w:szCs w:val="32"/>
        </w:rPr>
        <w:t>受试者：适合</w:t>
      </w:r>
      <w:r w:rsidRPr="009C7F0C">
        <w:rPr>
          <w:rFonts w:ascii="仿宋_GB2312" w:hAnsi="宋体" w:cs="宋体"/>
          <w:color w:val="000000"/>
          <w:kern w:val="0"/>
          <w:szCs w:val="32"/>
        </w:rPr>
        <w:t>本品单药治疗的</w:t>
      </w:r>
      <w:r w:rsidRPr="009C7F0C">
        <w:rPr>
          <w:rFonts w:ascii="仿宋_GB2312" w:hAnsi="宋体" w:cs="宋体" w:hint="eastAsia"/>
          <w:kern w:val="0"/>
          <w:szCs w:val="32"/>
        </w:rPr>
        <w:t>肿瘤患者。</w:t>
      </w:r>
    </w:p>
    <w:p w14:paraId="4DF9CD6E" w14:textId="77777777" w:rsidR="009C7F0C" w:rsidRPr="009C7F0C" w:rsidRDefault="009C7F0C" w:rsidP="009C7F0C">
      <w:pPr>
        <w:widowControl/>
        <w:adjustRightInd w:val="0"/>
        <w:spacing w:line="360" w:lineRule="auto"/>
        <w:ind w:firstLineChars="200" w:firstLine="640"/>
        <w:rPr>
          <w:rFonts w:ascii="仿宋_GB2312" w:hAnsi="宋体" w:cs="宋体"/>
          <w:kern w:val="0"/>
          <w:szCs w:val="32"/>
        </w:rPr>
      </w:pPr>
      <w:r w:rsidRPr="009C7F0C">
        <w:rPr>
          <w:rFonts w:ascii="仿宋_GB2312" w:hAnsi="宋体" w:cs="宋体" w:hint="eastAsia"/>
          <w:kern w:val="0"/>
          <w:szCs w:val="32"/>
        </w:rPr>
        <w:t>注意事项：</w:t>
      </w:r>
    </w:p>
    <w:p w14:paraId="034AC237"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kern w:val="0"/>
          <w:szCs w:val="32"/>
        </w:rPr>
      </w:pPr>
      <w:r w:rsidRPr="009C7F0C">
        <w:rPr>
          <w:rFonts w:ascii="仿宋_GB2312" w:hAnsi="宋体" w:cs="Times New Roman" w:hint="eastAsia"/>
          <w:szCs w:val="32"/>
        </w:rPr>
        <w:lastRenderedPageBreak/>
        <w:t>应使用商业批的样品进行关键的生物等效性研究。</w:t>
      </w:r>
    </w:p>
    <w:p w14:paraId="660975DF"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kern w:val="0"/>
          <w:szCs w:val="32"/>
        </w:rPr>
      </w:pPr>
      <w:r w:rsidRPr="009C7F0C">
        <w:rPr>
          <w:rFonts w:ascii="仿宋_GB2312" w:hAnsi="宋体" w:cs="宋体"/>
          <w:kern w:val="0"/>
          <w:szCs w:val="32"/>
        </w:rPr>
        <w:t>该研究将在安排患者接受常规治疗的两天内进行</w:t>
      </w:r>
      <w:r w:rsidRPr="009C7F0C">
        <w:rPr>
          <w:rFonts w:ascii="仿宋_GB2312" w:hAnsi="宋体" w:cs="宋体" w:hint="eastAsia"/>
          <w:kern w:val="0"/>
          <w:szCs w:val="32"/>
        </w:rPr>
        <w:t>，两个</w:t>
      </w:r>
      <w:r w:rsidRPr="009C7F0C">
        <w:rPr>
          <w:rFonts w:ascii="仿宋_GB2312" w:hAnsi="宋体" w:cs="宋体"/>
          <w:kern w:val="0"/>
          <w:szCs w:val="32"/>
        </w:rPr>
        <w:t>研究周期</w:t>
      </w:r>
      <w:r w:rsidRPr="009C7F0C">
        <w:rPr>
          <w:rFonts w:ascii="仿宋_GB2312" w:hAnsi="宋体" w:cs="宋体" w:hint="eastAsia"/>
          <w:kern w:val="0"/>
          <w:szCs w:val="32"/>
        </w:rPr>
        <w:t>不得改变治疗方案。</w:t>
      </w:r>
    </w:p>
    <w:p w14:paraId="13FBC734"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由于本品的心脏毒性，应在</w:t>
      </w:r>
      <w:r w:rsidRPr="009C7F0C">
        <w:rPr>
          <w:rFonts w:ascii="仿宋_GB2312" w:hAnsi="宋体" w:cs="宋体"/>
          <w:color w:val="000000"/>
          <w:kern w:val="0"/>
          <w:szCs w:val="32"/>
        </w:rPr>
        <w:t>基线时</w:t>
      </w:r>
      <w:r w:rsidRPr="009C7F0C">
        <w:rPr>
          <w:rFonts w:ascii="仿宋_GB2312" w:hAnsi="宋体" w:cs="宋体" w:hint="eastAsia"/>
          <w:color w:val="000000"/>
          <w:kern w:val="0"/>
          <w:szCs w:val="32"/>
        </w:rPr>
        <w:t>记录患者的</w:t>
      </w:r>
      <w:r w:rsidRPr="009C7F0C">
        <w:rPr>
          <w:rFonts w:ascii="仿宋_GB2312" w:hAnsi="宋体" w:cs="宋体"/>
          <w:color w:val="000000"/>
          <w:kern w:val="0"/>
          <w:szCs w:val="32"/>
        </w:rPr>
        <w:t>心脏状态。</w:t>
      </w:r>
    </w:p>
    <w:p w14:paraId="3D15E28B"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在研究过程中，患者的体重改变导致给药剂量改变达到±5%者，必须停止该患者的研究，并且该受试者</w:t>
      </w:r>
      <w:r w:rsidRPr="009C7F0C">
        <w:rPr>
          <w:rFonts w:ascii="仿宋_GB2312" w:hAnsi="宋体" w:cs="宋体"/>
          <w:color w:val="000000"/>
          <w:kern w:val="0"/>
          <w:szCs w:val="32"/>
        </w:rPr>
        <w:t>的数据不纳入最终</w:t>
      </w:r>
      <w:r w:rsidRPr="009C7F0C">
        <w:rPr>
          <w:rFonts w:ascii="仿宋_GB2312" w:hAnsi="宋体" w:cs="宋体" w:hint="eastAsia"/>
          <w:color w:val="000000"/>
          <w:kern w:val="0"/>
          <w:szCs w:val="32"/>
        </w:rPr>
        <w:t>BES进行生物</w:t>
      </w:r>
      <w:r w:rsidRPr="009C7F0C">
        <w:rPr>
          <w:rFonts w:ascii="仿宋_GB2312" w:hAnsi="宋体" w:cs="宋体"/>
          <w:color w:val="000000"/>
          <w:kern w:val="0"/>
          <w:szCs w:val="32"/>
        </w:rPr>
        <w:t>等效性分析</w:t>
      </w:r>
      <w:r w:rsidRPr="009C7F0C">
        <w:rPr>
          <w:rFonts w:ascii="仿宋_GB2312" w:hAnsi="宋体" w:cs="宋体" w:hint="eastAsia"/>
          <w:color w:val="000000"/>
          <w:kern w:val="0"/>
          <w:szCs w:val="32"/>
        </w:rPr>
        <w:t>。</w:t>
      </w:r>
    </w:p>
    <w:p w14:paraId="0BA0C15F"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在仿制药生物等效性研究的两个周期中，合并用药应</w:t>
      </w:r>
      <w:r w:rsidRPr="009C7F0C">
        <w:rPr>
          <w:rFonts w:ascii="仿宋_GB2312" w:hAnsi="宋体" w:cs="宋体"/>
          <w:color w:val="000000"/>
          <w:kern w:val="0"/>
          <w:szCs w:val="32"/>
        </w:rPr>
        <w:t>尽可能保持一致</w:t>
      </w:r>
      <w:r w:rsidRPr="009C7F0C">
        <w:rPr>
          <w:rFonts w:ascii="仿宋_GB2312" w:hAnsi="宋体" w:cs="宋体" w:hint="eastAsia"/>
          <w:color w:val="000000"/>
          <w:kern w:val="0"/>
          <w:szCs w:val="32"/>
        </w:rPr>
        <w:t>。若</w:t>
      </w:r>
      <w:r w:rsidRPr="009C7F0C">
        <w:rPr>
          <w:rFonts w:ascii="仿宋_GB2312" w:hAnsi="宋体" w:cs="宋体"/>
          <w:color w:val="000000"/>
          <w:kern w:val="0"/>
          <w:szCs w:val="32"/>
        </w:rPr>
        <w:t>因</w:t>
      </w:r>
      <w:r w:rsidRPr="009C7F0C">
        <w:rPr>
          <w:rFonts w:ascii="仿宋_GB2312" w:hAnsi="宋体" w:cs="宋体" w:hint="eastAsia"/>
          <w:color w:val="000000"/>
          <w:kern w:val="0"/>
          <w:szCs w:val="32"/>
        </w:rPr>
        <w:t>不良事件</w:t>
      </w:r>
      <w:r w:rsidRPr="009C7F0C">
        <w:rPr>
          <w:rFonts w:ascii="仿宋_GB2312" w:hAnsi="宋体" w:cs="宋体"/>
          <w:color w:val="000000"/>
          <w:kern w:val="0"/>
          <w:szCs w:val="32"/>
        </w:rPr>
        <w:t>的治疗需要，确需用药导致两周期间合并用药不一致，应</w:t>
      </w:r>
      <w:r w:rsidRPr="009C7F0C">
        <w:rPr>
          <w:rFonts w:ascii="仿宋_GB2312" w:hAnsi="宋体" w:cs="宋体" w:hint="eastAsia"/>
          <w:color w:val="000000"/>
          <w:kern w:val="0"/>
          <w:szCs w:val="32"/>
        </w:rPr>
        <w:t>提供充分证据</w:t>
      </w:r>
      <w:r w:rsidRPr="009C7F0C">
        <w:rPr>
          <w:rFonts w:ascii="仿宋_GB2312" w:hAnsi="宋体" w:cs="宋体"/>
          <w:color w:val="000000"/>
          <w:kern w:val="0"/>
          <w:szCs w:val="32"/>
        </w:rPr>
        <w:t>证明</w:t>
      </w:r>
      <w:r w:rsidRPr="009C7F0C">
        <w:rPr>
          <w:rFonts w:ascii="仿宋_GB2312" w:hAnsi="宋体" w:cs="宋体" w:hint="eastAsia"/>
          <w:color w:val="000000"/>
          <w:kern w:val="0"/>
          <w:szCs w:val="32"/>
        </w:rPr>
        <w:t>合并</w:t>
      </w:r>
      <w:r w:rsidRPr="009C7F0C">
        <w:rPr>
          <w:rFonts w:ascii="仿宋_GB2312" w:hAnsi="宋体" w:cs="宋体"/>
          <w:color w:val="000000"/>
          <w:kern w:val="0"/>
          <w:szCs w:val="32"/>
        </w:rPr>
        <w:t>用药对研</w:t>
      </w:r>
      <w:r w:rsidRPr="009C7F0C">
        <w:rPr>
          <w:rFonts w:ascii="仿宋_GB2312" w:hAnsi="宋体" w:cs="宋体" w:hint="eastAsia"/>
          <w:color w:val="000000"/>
          <w:kern w:val="0"/>
          <w:szCs w:val="32"/>
        </w:rPr>
        <w:t>究</w:t>
      </w:r>
      <w:r w:rsidRPr="009C7F0C">
        <w:rPr>
          <w:rFonts w:ascii="仿宋_GB2312" w:hAnsi="宋体" w:cs="宋体"/>
          <w:color w:val="000000"/>
          <w:kern w:val="0"/>
          <w:szCs w:val="32"/>
        </w:rPr>
        <w:t>制剂药代动力学行为不产生影响，</w:t>
      </w:r>
      <w:r w:rsidRPr="009C7F0C">
        <w:rPr>
          <w:rFonts w:ascii="仿宋_GB2312" w:hAnsi="宋体" w:cs="宋体" w:hint="eastAsia"/>
          <w:color w:val="000000"/>
          <w:kern w:val="0"/>
          <w:szCs w:val="32"/>
        </w:rPr>
        <w:t>否则</w:t>
      </w:r>
      <w:r w:rsidRPr="009C7F0C">
        <w:rPr>
          <w:rFonts w:ascii="仿宋_GB2312" w:hAnsi="宋体" w:cs="宋体"/>
          <w:color w:val="000000"/>
          <w:kern w:val="0"/>
          <w:szCs w:val="32"/>
        </w:rPr>
        <w:t>该周期数据不纳入</w:t>
      </w:r>
      <w:r w:rsidRPr="009C7F0C">
        <w:rPr>
          <w:rFonts w:ascii="仿宋_GB2312" w:hAnsi="宋体" w:cs="宋体" w:hint="eastAsia"/>
          <w:color w:val="000000"/>
          <w:kern w:val="0"/>
          <w:szCs w:val="32"/>
        </w:rPr>
        <w:t>最终</w:t>
      </w:r>
      <w:r w:rsidRPr="009C7F0C">
        <w:rPr>
          <w:rFonts w:ascii="仿宋_GB2312" w:hAnsi="宋体" w:cs="宋体"/>
          <w:color w:val="000000"/>
          <w:kern w:val="0"/>
          <w:szCs w:val="32"/>
        </w:rPr>
        <w:t>BES进行</w:t>
      </w:r>
      <w:r w:rsidRPr="009C7F0C">
        <w:rPr>
          <w:rFonts w:ascii="仿宋_GB2312" w:hAnsi="宋体" w:cs="宋体" w:hint="eastAsia"/>
          <w:color w:val="000000"/>
          <w:kern w:val="0"/>
          <w:szCs w:val="32"/>
        </w:rPr>
        <w:t>生物</w:t>
      </w:r>
      <w:r w:rsidRPr="009C7F0C">
        <w:rPr>
          <w:rFonts w:ascii="仿宋_GB2312" w:hAnsi="宋体" w:cs="宋体"/>
          <w:color w:val="000000"/>
          <w:kern w:val="0"/>
          <w:szCs w:val="32"/>
        </w:rPr>
        <w:t>等效性分析</w:t>
      </w:r>
      <w:r w:rsidRPr="009C7F0C">
        <w:rPr>
          <w:rFonts w:ascii="仿宋_GB2312" w:hAnsi="宋体" w:cs="宋体" w:hint="eastAsia"/>
          <w:color w:val="000000"/>
          <w:kern w:val="0"/>
          <w:szCs w:val="32"/>
        </w:rPr>
        <w:t>。</w:t>
      </w:r>
    </w:p>
    <w:p w14:paraId="312708F1" w14:textId="77777777" w:rsidR="009C7F0C" w:rsidRPr="009C7F0C" w:rsidRDefault="009C7F0C" w:rsidP="009C7F0C">
      <w:pPr>
        <w:widowControl/>
        <w:adjustRightInd w:val="0"/>
        <w:snapToGrid w:val="0"/>
        <w:spacing w:line="360" w:lineRule="auto"/>
        <w:ind w:firstLineChars="200" w:firstLine="640"/>
        <w:rPr>
          <w:rFonts w:ascii="仿宋_GB2312" w:hAnsi="宋体" w:cs="宋体"/>
          <w:kern w:val="0"/>
          <w:szCs w:val="32"/>
        </w:rPr>
      </w:pPr>
      <w:r w:rsidRPr="009C7F0C">
        <w:rPr>
          <w:rFonts w:ascii="仿宋_GB2312" w:hAnsi="宋体" w:cs="宋体" w:hint="eastAsia"/>
          <w:kern w:val="0"/>
          <w:szCs w:val="32"/>
        </w:rPr>
        <w:t>排除标准：</w:t>
      </w:r>
    </w:p>
    <w:p w14:paraId="418EDE91"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经过4个疗程</w:t>
      </w:r>
      <w:proofErr w:type="gramStart"/>
      <w:r w:rsidRPr="009C7F0C">
        <w:rPr>
          <w:rFonts w:ascii="仿宋_GB2312" w:hAnsi="宋体" w:cs="宋体"/>
          <w:color w:val="000000"/>
          <w:kern w:val="0"/>
          <w:szCs w:val="32"/>
        </w:rPr>
        <w:t>多柔比星治疗</w:t>
      </w:r>
      <w:proofErr w:type="gramEnd"/>
      <w:r w:rsidRPr="009C7F0C">
        <w:rPr>
          <w:rFonts w:ascii="仿宋_GB2312" w:hAnsi="宋体" w:cs="宋体"/>
          <w:color w:val="000000"/>
          <w:kern w:val="0"/>
          <w:szCs w:val="32"/>
        </w:rPr>
        <w:t>的</w:t>
      </w:r>
      <w:r w:rsidRPr="009C7F0C">
        <w:rPr>
          <w:rFonts w:ascii="仿宋_GB2312" w:hAnsi="宋体" w:cs="宋体" w:hint="eastAsia"/>
          <w:color w:val="000000"/>
          <w:kern w:val="0"/>
          <w:szCs w:val="32"/>
        </w:rPr>
        <w:t>患</w:t>
      </w:r>
      <w:r w:rsidRPr="009C7F0C">
        <w:rPr>
          <w:rFonts w:ascii="仿宋_GB2312" w:hAnsi="宋体" w:cs="宋体"/>
          <w:color w:val="000000"/>
          <w:kern w:val="0"/>
          <w:szCs w:val="32"/>
        </w:rPr>
        <w:t>者</w:t>
      </w:r>
      <w:r w:rsidRPr="009C7F0C">
        <w:rPr>
          <w:rFonts w:ascii="仿宋_GB2312" w:hAnsi="宋体" w:cs="宋体" w:hint="eastAsia"/>
          <w:color w:val="000000"/>
          <w:kern w:val="0"/>
          <w:szCs w:val="32"/>
        </w:rPr>
        <w:t>，</w:t>
      </w:r>
      <w:proofErr w:type="gramStart"/>
      <w:r w:rsidRPr="009C7F0C">
        <w:rPr>
          <w:rFonts w:ascii="仿宋_GB2312" w:hAnsi="宋体" w:cs="宋体" w:hint="eastAsia"/>
          <w:color w:val="000000"/>
          <w:kern w:val="0"/>
          <w:szCs w:val="32"/>
        </w:rPr>
        <w:t>多柔比星总</w:t>
      </w:r>
      <w:proofErr w:type="gramEnd"/>
      <w:r w:rsidRPr="009C7F0C">
        <w:rPr>
          <w:rFonts w:ascii="仿宋_GB2312" w:hAnsi="宋体" w:cs="宋体" w:hint="eastAsia"/>
          <w:color w:val="000000"/>
          <w:kern w:val="0"/>
          <w:szCs w:val="32"/>
        </w:rPr>
        <w:t>暴露达到550</w:t>
      </w:r>
      <w:r w:rsidRPr="009C7F0C">
        <w:rPr>
          <w:rFonts w:ascii="Times New Roman" w:hAnsi="Times New Roman" w:cs="Times New Roman"/>
          <w:color w:val="000000"/>
          <w:kern w:val="0"/>
          <w:szCs w:val="32"/>
        </w:rPr>
        <w:t>mg/m</w:t>
      </w:r>
      <w:r w:rsidRPr="009C7F0C">
        <w:rPr>
          <w:rFonts w:ascii="Times New Roman" w:hAnsi="Times New Roman" w:cs="Times New Roman"/>
          <w:color w:val="000000"/>
          <w:kern w:val="0"/>
          <w:szCs w:val="32"/>
          <w:vertAlign w:val="superscript"/>
        </w:rPr>
        <w:t>2</w:t>
      </w:r>
      <w:r w:rsidRPr="009C7F0C">
        <w:rPr>
          <w:rFonts w:ascii="仿宋_GB2312" w:hAnsi="宋体" w:cs="宋体" w:hint="eastAsia"/>
          <w:color w:val="000000"/>
          <w:kern w:val="0"/>
          <w:szCs w:val="32"/>
        </w:rPr>
        <w:t>或更多。</w:t>
      </w:r>
    </w:p>
    <w:p w14:paraId="20FD326D"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lastRenderedPageBreak/>
        <w:t>肝功能明显受损的患者。</w:t>
      </w:r>
    </w:p>
    <w:p w14:paraId="2C843998"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对盐酸</w:t>
      </w:r>
      <w:proofErr w:type="gramStart"/>
      <w:r w:rsidRPr="009C7F0C">
        <w:rPr>
          <w:rFonts w:ascii="仿宋_GB2312" w:hAnsi="宋体" w:cs="宋体" w:hint="eastAsia"/>
          <w:color w:val="000000"/>
          <w:kern w:val="0"/>
          <w:szCs w:val="32"/>
        </w:rPr>
        <w:t>多柔比</w:t>
      </w:r>
      <w:proofErr w:type="gramEnd"/>
      <w:r w:rsidRPr="009C7F0C">
        <w:rPr>
          <w:rFonts w:ascii="仿宋_GB2312" w:hAnsi="宋体" w:cs="宋体" w:hint="eastAsia"/>
          <w:color w:val="000000"/>
          <w:kern w:val="0"/>
          <w:szCs w:val="32"/>
        </w:rPr>
        <w:t>星处方成分或</w:t>
      </w:r>
      <w:r w:rsidRPr="009C7F0C">
        <w:rPr>
          <w:rFonts w:ascii="Times New Roman" w:hAnsi="Times New Roman" w:cs="Times New Roman"/>
          <w:color w:val="000000"/>
          <w:kern w:val="0"/>
          <w:szCs w:val="32"/>
        </w:rPr>
        <w:t>RLD</w:t>
      </w:r>
      <w:r w:rsidRPr="009C7F0C">
        <w:rPr>
          <w:rFonts w:ascii="Times New Roman" w:hAnsi="Times New Roman" w:cs="Times New Roman" w:hint="eastAsia"/>
          <w:color w:val="000000"/>
          <w:kern w:val="0"/>
          <w:szCs w:val="32"/>
        </w:rPr>
        <w:t>处方</w:t>
      </w:r>
      <w:r w:rsidRPr="009C7F0C">
        <w:rPr>
          <w:rFonts w:ascii="仿宋_GB2312" w:hAnsi="宋体" w:cs="宋体" w:hint="eastAsia"/>
          <w:color w:val="000000"/>
          <w:kern w:val="0"/>
          <w:szCs w:val="32"/>
        </w:rPr>
        <w:t>成分有过敏史的患者。</w:t>
      </w:r>
    </w:p>
    <w:p w14:paraId="67A24652"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妊娠期和哺乳期的女性患者。</w:t>
      </w:r>
    </w:p>
    <w:p w14:paraId="5770AA47"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年龄小于18岁或大于75周岁的患</w:t>
      </w:r>
      <w:r w:rsidRPr="009C7F0C">
        <w:rPr>
          <w:rFonts w:ascii="仿宋_GB2312" w:hAnsi="宋体" w:cs="宋体"/>
          <w:color w:val="000000"/>
          <w:kern w:val="0"/>
          <w:szCs w:val="32"/>
        </w:rPr>
        <w:t>者</w:t>
      </w:r>
      <w:r w:rsidRPr="009C7F0C">
        <w:rPr>
          <w:rFonts w:ascii="仿宋_GB2312" w:hAnsi="宋体" w:cs="宋体" w:hint="eastAsia"/>
          <w:color w:val="000000"/>
          <w:kern w:val="0"/>
          <w:szCs w:val="32"/>
        </w:rPr>
        <w:t>。</w:t>
      </w:r>
    </w:p>
    <w:p w14:paraId="1841549D"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具有需要全身用药的持续或活动性感染者。</w:t>
      </w:r>
    </w:p>
    <w:p w14:paraId="1D57D751"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有严重的心脏、肝脏或肾脏疾病的患者。</w:t>
      </w:r>
    </w:p>
    <w:p w14:paraId="4DEBEE74"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宋体" w:hint="eastAsia"/>
          <w:bCs/>
          <w:color w:val="000000"/>
          <w:kern w:val="0"/>
          <w:szCs w:val="32"/>
        </w:rPr>
        <w:t>检测物质：在适当的生物体液中</w:t>
      </w:r>
      <w:r w:rsidRPr="009C7F0C">
        <w:rPr>
          <w:rFonts w:ascii="仿宋_GB2312" w:hAnsi="宋体" w:cs="宋体" w:hint="eastAsia"/>
          <w:color w:val="000000"/>
          <w:kern w:val="0"/>
          <w:szCs w:val="32"/>
        </w:rPr>
        <w:t>游离的（非包封的）</w:t>
      </w:r>
      <w:proofErr w:type="gramStart"/>
      <w:r w:rsidRPr="009C7F0C">
        <w:rPr>
          <w:rFonts w:ascii="仿宋_GB2312" w:hAnsi="宋体" w:cs="宋体" w:hint="eastAsia"/>
          <w:color w:val="000000"/>
          <w:kern w:val="0"/>
          <w:szCs w:val="32"/>
        </w:rPr>
        <w:t>多柔比</w:t>
      </w:r>
      <w:proofErr w:type="gramEnd"/>
      <w:r w:rsidRPr="009C7F0C">
        <w:rPr>
          <w:rFonts w:ascii="仿宋_GB2312" w:hAnsi="宋体" w:cs="宋体" w:hint="eastAsia"/>
          <w:color w:val="000000"/>
          <w:kern w:val="0"/>
          <w:szCs w:val="32"/>
        </w:rPr>
        <w:t>星和脂质体包封的</w:t>
      </w:r>
      <w:proofErr w:type="gramStart"/>
      <w:r w:rsidRPr="009C7F0C">
        <w:rPr>
          <w:rFonts w:ascii="仿宋_GB2312" w:hAnsi="宋体" w:cs="宋体" w:hint="eastAsia"/>
          <w:color w:val="000000"/>
          <w:kern w:val="0"/>
          <w:szCs w:val="32"/>
        </w:rPr>
        <w:t>多柔比</w:t>
      </w:r>
      <w:proofErr w:type="gramEnd"/>
      <w:r w:rsidRPr="009C7F0C">
        <w:rPr>
          <w:rFonts w:ascii="仿宋_GB2312" w:hAnsi="宋体" w:cs="宋体" w:hint="eastAsia"/>
          <w:color w:val="000000"/>
          <w:kern w:val="0"/>
          <w:szCs w:val="32"/>
        </w:rPr>
        <w:t>星。</w:t>
      </w:r>
    </w:p>
    <w:p w14:paraId="6F27C289" w14:textId="77777777" w:rsidR="009C7F0C" w:rsidRPr="009C7F0C" w:rsidRDefault="009C7F0C" w:rsidP="009C7F0C">
      <w:pPr>
        <w:adjustRightInd w:val="0"/>
        <w:spacing w:line="360" w:lineRule="auto"/>
        <w:ind w:firstLineChars="200" w:firstLine="640"/>
        <w:rPr>
          <w:rFonts w:ascii="Times New Roman" w:hAnsi="Times New Roman" w:cs="Times New Roman"/>
          <w:bCs/>
          <w:kern w:val="44"/>
          <w:szCs w:val="32"/>
        </w:rPr>
      </w:pPr>
      <w:r w:rsidRPr="009C7F0C">
        <w:rPr>
          <w:rFonts w:ascii="Times New Roman" w:hAnsi="Times New Roman" w:cs="Times New Roman"/>
          <w:bCs/>
          <w:kern w:val="44"/>
          <w:szCs w:val="32"/>
        </w:rPr>
        <w:t>生物等效性评价指标：</w:t>
      </w:r>
      <w:r w:rsidRPr="009C7F0C">
        <w:rPr>
          <w:rFonts w:ascii="Times New Roman" w:hAnsi="Times New Roman" w:cs="Times New Roman" w:hint="eastAsia"/>
          <w:bCs/>
          <w:kern w:val="44"/>
          <w:szCs w:val="32"/>
        </w:rPr>
        <w:t>主要评价指标</w:t>
      </w:r>
      <w:r w:rsidRPr="009C7F0C">
        <w:rPr>
          <w:rFonts w:ascii="Times New Roman" w:hAnsi="Times New Roman" w:cs="Times New Roman"/>
          <w:bCs/>
          <w:kern w:val="44"/>
          <w:szCs w:val="32"/>
        </w:rPr>
        <w:t>应提供包括受试制剂和</w:t>
      </w:r>
      <w:proofErr w:type="gramStart"/>
      <w:r w:rsidRPr="009C7F0C">
        <w:rPr>
          <w:rFonts w:ascii="Times New Roman" w:hAnsi="Times New Roman" w:cs="Times New Roman"/>
          <w:bCs/>
          <w:kern w:val="44"/>
          <w:szCs w:val="32"/>
        </w:rPr>
        <w:t>参比</w:t>
      </w:r>
      <w:proofErr w:type="gramEnd"/>
      <w:r w:rsidRPr="009C7F0C">
        <w:rPr>
          <w:rFonts w:ascii="Times New Roman" w:hAnsi="Times New Roman" w:cs="Times New Roman"/>
          <w:bCs/>
          <w:kern w:val="44"/>
          <w:szCs w:val="32"/>
        </w:rPr>
        <w:t>制剂</w:t>
      </w:r>
      <w:r w:rsidRPr="009C7F0C">
        <w:rPr>
          <w:rFonts w:ascii="仿宋_GB2312" w:hAnsi="宋体" w:cs="宋体" w:hint="eastAsia"/>
          <w:color w:val="000000"/>
          <w:kern w:val="0"/>
          <w:szCs w:val="32"/>
        </w:rPr>
        <w:t>游离的和脂质体包封的</w:t>
      </w:r>
      <w:proofErr w:type="gramStart"/>
      <w:r w:rsidRPr="009C7F0C">
        <w:rPr>
          <w:rFonts w:ascii="仿宋_GB2312" w:hAnsi="宋体" w:cs="宋体" w:hint="eastAsia"/>
          <w:color w:val="000000"/>
          <w:kern w:val="0"/>
          <w:szCs w:val="32"/>
        </w:rPr>
        <w:t>多柔比</w:t>
      </w:r>
      <w:proofErr w:type="gramEnd"/>
      <w:r w:rsidRPr="009C7F0C">
        <w:rPr>
          <w:rFonts w:ascii="仿宋_GB2312" w:hAnsi="宋体" w:cs="宋体" w:hint="eastAsia"/>
          <w:color w:val="000000"/>
          <w:kern w:val="0"/>
          <w:szCs w:val="32"/>
        </w:rPr>
        <w:t>星</w:t>
      </w:r>
      <w:r w:rsidRPr="009C7F0C">
        <w:rPr>
          <w:rFonts w:ascii="Times New Roman" w:hAnsi="Times New Roman" w:cs="Times New Roman"/>
          <w:bCs/>
          <w:kern w:val="44"/>
          <w:szCs w:val="32"/>
        </w:rPr>
        <w:t>的</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0-t</w:t>
      </w:r>
      <w:r w:rsidRPr="009C7F0C">
        <w:rPr>
          <w:rFonts w:ascii="Times New Roman" w:hAnsi="Times New Roman" w:cs="Times New Roman"/>
          <w:bCs/>
          <w:kern w:val="44"/>
          <w:szCs w:val="32"/>
        </w:rPr>
        <w:t>、</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w:t>
      </w:r>
      <w:r w:rsidRPr="009C7F0C">
        <w:rPr>
          <w:rFonts w:ascii="Times New Roman" w:hAnsi="Times New Roman" w:cs="Times New Roman"/>
          <w:bCs/>
          <w:kern w:val="44"/>
          <w:szCs w:val="32"/>
        </w:rPr>
        <w:t>、</w:t>
      </w:r>
      <w:proofErr w:type="spellStart"/>
      <w:r w:rsidRPr="009C7F0C">
        <w:rPr>
          <w:rFonts w:ascii="Times New Roman" w:hAnsi="Times New Roman" w:cs="Times New Roman"/>
          <w:bCs/>
          <w:kern w:val="44"/>
          <w:szCs w:val="32"/>
        </w:rPr>
        <w:t>C</w:t>
      </w:r>
      <w:r w:rsidRPr="009C7F0C">
        <w:rPr>
          <w:rFonts w:ascii="Times New Roman" w:hAnsi="Times New Roman" w:cs="Times New Roman"/>
          <w:bCs/>
          <w:kern w:val="44"/>
          <w:szCs w:val="32"/>
          <w:vertAlign w:val="subscript"/>
        </w:rPr>
        <w:t>max</w:t>
      </w:r>
      <w:proofErr w:type="spellEnd"/>
      <w:r w:rsidRPr="009C7F0C">
        <w:rPr>
          <w:rFonts w:ascii="Times New Roman" w:hAnsi="Times New Roman" w:cs="Times New Roman" w:hint="eastAsia"/>
          <w:bCs/>
          <w:kern w:val="44"/>
          <w:szCs w:val="32"/>
        </w:rPr>
        <w:t>，</w:t>
      </w:r>
      <w:r w:rsidRPr="009C7F0C">
        <w:rPr>
          <w:rFonts w:ascii="Times New Roman" w:hAnsi="Times New Roman" w:cs="Times New Roman"/>
          <w:bCs/>
          <w:kern w:val="44"/>
          <w:szCs w:val="32"/>
        </w:rPr>
        <w:t>需提供相</w:t>
      </w:r>
      <w:r w:rsidRPr="009C7F0C">
        <w:rPr>
          <w:rFonts w:ascii="Times New Roman" w:hAnsi="Times New Roman" w:cs="Times New Roman" w:hint="eastAsia"/>
          <w:bCs/>
          <w:kern w:val="44"/>
          <w:szCs w:val="32"/>
        </w:rPr>
        <w:t>应</w:t>
      </w:r>
      <w:r w:rsidRPr="009C7F0C">
        <w:rPr>
          <w:rFonts w:ascii="Times New Roman" w:hAnsi="Times New Roman" w:cs="Times New Roman"/>
          <w:bCs/>
          <w:kern w:val="44"/>
          <w:szCs w:val="32"/>
        </w:rPr>
        <w:t>几何均值、几何均值比值及其</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置信区间。</w:t>
      </w:r>
      <w:r w:rsidRPr="009C7F0C">
        <w:rPr>
          <w:rFonts w:ascii="Times New Roman" w:hAnsi="Times New Roman" w:cs="Times New Roman" w:hint="eastAsia"/>
          <w:bCs/>
          <w:kern w:val="44"/>
          <w:szCs w:val="32"/>
        </w:rPr>
        <w:t>建议增加</w:t>
      </w:r>
      <w:r w:rsidRPr="009C7F0C">
        <w:rPr>
          <w:rFonts w:ascii="仿宋_GB2312" w:hAnsi="宋体" w:cs="宋体" w:hint="eastAsia"/>
          <w:color w:val="000000"/>
          <w:kern w:val="0"/>
          <w:szCs w:val="32"/>
        </w:rPr>
        <w:t>脂质体</w:t>
      </w:r>
      <w:r w:rsidRPr="009C7F0C">
        <w:rPr>
          <w:rFonts w:ascii="Times New Roman" w:hAnsi="Times New Roman" w:cs="Times New Roman" w:hint="eastAsia"/>
          <w:bCs/>
          <w:kern w:val="44"/>
          <w:szCs w:val="32"/>
        </w:rPr>
        <w:t>包封的</w:t>
      </w:r>
      <w:proofErr w:type="gramStart"/>
      <w:r w:rsidRPr="009C7F0C">
        <w:rPr>
          <w:rFonts w:ascii="Times New Roman" w:hAnsi="Times New Roman" w:cs="Times New Roman" w:hint="eastAsia"/>
          <w:bCs/>
          <w:kern w:val="44"/>
          <w:szCs w:val="32"/>
        </w:rPr>
        <w:t>多柔比</w:t>
      </w:r>
      <w:proofErr w:type="gramEnd"/>
      <w:r w:rsidRPr="009C7F0C">
        <w:rPr>
          <w:rFonts w:ascii="Times New Roman" w:hAnsi="Times New Roman" w:cs="Times New Roman" w:hint="eastAsia"/>
          <w:bCs/>
          <w:kern w:val="44"/>
          <w:szCs w:val="32"/>
        </w:rPr>
        <w:t>星的部分暴露量指标（如</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0-48h</w:t>
      </w:r>
      <w:r w:rsidRPr="009C7F0C">
        <w:rPr>
          <w:rFonts w:ascii="Times New Roman" w:hAnsi="Times New Roman" w:cs="Times New Roman" w:hint="eastAsia"/>
          <w:bCs/>
          <w:kern w:val="44"/>
          <w:szCs w:val="32"/>
        </w:rPr>
        <w:t>和</w:t>
      </w:r>
      <w:r w:rsidRPr="009C7F0C">
        <w:rPr>
          <w:rFonts w:ascii="Times New Roman" w:hAnsi="Times New Roman" w:cs="Times New Roman" w:hint="eastAsia"/>
          <w:bCs/>
          <w:kern w:val="44"/>
          <w:szCs w:val="32"/>
        </w:rPr>
        <w:t>AUC</w:t>
      </w:r>
      <w:r w:rsidRPr="009C7F0C">
        <w:rPr>
          <w:rFonts w:ascii="Times New Roman" w:hAnsi="Times New Roman" w:cs="Times New Roman"/>
          <w:bCs/>
          <w:kern w:val="44"/>
          <w:szCs w:val="32"/>
          <w:vertAlign w:val="subscript"/>
        </w:rPr>
        <w:t>48h-last</w:t>
      </w:r>
      <w:r w:rsidRPr="009C7F0C">
        <w:rPr>
          <w:rFonts w:ascii="Times New Roman" w:hAnsi="Times New Roman" w:cs="Times New Roman" w:hint="eastAsia"/>
          <w:bCs/>
          <w:kern w:val="44"/>
          <w:szCs w:val="32"/>
        </w:rPr>
        <w:t>）作为</w:t>
      </w:r>
      <w:r w:rsidRPr="009C7F0C">
        <w:rPr>
          <w:rFonts w:ascii="Times New Roman" w:hAnsi="Times New Roman" w:cs="Times New Roman"/>
          <w:bCs/>
          <w:kern w:val="44"/>
          <w:szCs w:val="32"/>
        </w:rPr>
        <w:t>次要</w:t>
      </w:r>
      <w:r w:rsidRPr="009C7F0C">
        <w:rPr>
          <w:rFonts w:ascii="Times New Roman" w:hAnsi="Times New Roman" w:cs="Times New Roman" w:hint="eastAsia"/>
          <w:bCs/>
          <w:kern w:val="44"/>
          <w:szCs w:val="32"/>
        </w:rPr>
        <w:t>评价指</w:t>
      </w:r>
      <w:r w:rsidRPr="009C7F0C">
        <w:rPr>
          <w:rFonts w:ascii="Times New Roman" w:hAnsi="Times New Roman" w:cs="Times New Roman"/>
          <w:bCs/>
          <w:kern w:val="44"/>
          <w:szCs w:val="32"/>
        </w:rPr>
        <w:t>标，</w:t>
      </w:r>
      <w:r w:rsidRPr="009C7F0C">
        <w:rPr>
          <w:rFonts w:ascii="Times New Roman" w:hAnsi="Times New Roman" w:cs="Times New Roman" w:hint="eastAsia"/>
          <w:bCs/>
          <w:kern w:val="44"/>
          <w:szCs w:val="32"/>
        </w:rPr>
        <w:t>同样</w:t>
      </w:r>
      <w:r w:rsidRPr="009C7F0C">
        <w:rPr>
          <w:rFonts w:ascii="Times New Roman" w:hAnsi="Times New Roman" w:cs="Times New Roman"/>
          <w:bCs/>
          <w:kern w:val="44"/>
          <w:szCs w:val="32"/>
        </w:rPr>
        <w:t>进行</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置信区间</w:t>
      </w:r>
      <w:r w:rsidRPr="009C7F0C">
        <w:rPr>
          <w:rFonts w:ascii="Times New Roman" w:hAnsi="Times New Roman" w:cs="Times New Roman" w:hint="eastAsia"/>
          <w:bCs/>
          <w:kern w:val="44"/>
          <w:szCs w:val="32"/>
        </w:rPr>
        <w:t>考察</w:t>
      </w:r>
      <w:r w:rsidRPr="009C7F0C">
        <w:rPr>
          <w:rFonts w:ascii="Times New Roman" w:hAnsi="Times New Roman" w:cs="Times New Roman"/>
          <w:bCs/>
          <w:kern w:val="44"/>
          <w:szCs w:val="32"/>
        </w:rPr>
        <w:t>。</w:t>
      </w:r>
    </w:p>
    <w:p w14:paraId="635EFF46"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Times New Roman" w:hint="eastAsia"/>
          <w:szCs w:val="32"/>
        </w:rPr>
        <w:t>生物等效</w:t>
      </w:r>
      <w:r w:rsidRPr="009C7F0C">
        <w:rPr>
          <w:rFonts w:ascii="Times New Roman" w:hAnsi="Times New Roman" w:cs="Times New Roman"/>
          <w:bCs/>
          <w:kern w:val="44"/>
          <w:szCs w:val="32"/>
        </w:rPr>
        <w:t>的接受标准</w:t>
      </w:r>
      <w:r w:rsidRPr="009C7F0C">
        <w:rPr>
          <w:rFonts w:ascii="Times New Roman" w:hAnsi="Times New Roman" w:cs="Times New Roman" w:hint="eastAsia"/>
          <w:szCs w:val="32"/>
        </w:rPr>
        <w:t>（</w:t>
      </w:r>
      <w:r w:rsidRPr="009C7F0C">
        <w:rPr>
          <w:rFonts w:ascii="Times New Roman" w:hAnsi="Times New Roman" w:cs="Times New Roman"/>
          <w:szCs w:val="32"/>
        </w:rPr>
        <w:t>90% CI</w:t>
      </w:r>
      <w:r w:rsidRPr="009C7F0C">
        <w:rPr>
          <w:rFonts w:ascii="Times New Roman" w:hAnsi="Times New Roman" w:cs="Times New Roman" w:hint="eastAsia"/>
          <w:szCs w:val="32"/>
        </w:rPr>
        <w:t>）：</w:t>
      </w:r>
      <w:r w:rsidRPr="009C7F0C">
        <w:rPr>
          <w:rFonts w:ascii="仿宋_GB2312" w:hAnsi="宋体" w:cs="Times New Roman" w:hint="eastAsia"/>
          <w:szCs w:val="32"/>
        </w:rPr>
        <w:t>游离的和脂质体包封的</w:t>
      </w:r>
      <w:proofErr w:type="gramStart"/>
      <w:r w:rsidRPr="009C7F0C">
        <w:rPr>
          <w:rFonts w:ascii="仿宋_GB2312" w:hAnsi="宋体" w:cs="Times New Roman" w:hint="eastAsia"/>
          <w:szCs w:val="32"/>
        </w:rPr>
        <w:t>多柔比</w:t>
      </w:r>
      <w:proofErr w:type="gramEnd"/>
      <w:r w:rsidRPr="009C7F0C">
        <w:rPr>
          <w:rFonts w:ascii="仿宋_GB2312" w:hAnsi="宋体" w:cs="Times New Roman" w:hint="eastAsia"/>
          <w:szCs w:val="32"/>
        </w:rPr>
        <w:t>星的</w:t>
      </w:r>
      <w:r w:rsidRPr="009C7F0C">
        <w:rPr>
          <w:rFonts w:ascii="Times New Roman" w:hAnsi="Times New Roman" w:cs="Times New Roman" w:hint="eastAsia"/>
          <w:bCs/>
          <w:kern w:val="44"/>
          <w:szCs w:val="32"/>
        </w:rPr>
        <w:t>AUC</w:t>
      </w:r>
      <w:r w:rsidRPr="009C7F0C">
        <w:rPr>
          <w:rFonts w:ascii="Times New Roman" w:hAnsi="Times New Roman" w:cs="Times New Roman" w:hint="eastAsia"/>
          <w:bCs/>
          <w:kern w:val="44"/>
          <w:szCs w:val="32"/>
          <w:vertAlign w:val="subscript"/>
        </w:rPr>
        <w:t>0-t</w:t>
      </w:r>
      <w:r w:rsidRPr="009C7F0C">
        <w:rPr>
          <w:rFonts w:ascii="Times New Roman" w:hAnsi="Times New Roman" w:cs="Times New Roman" w:hint="eastAsia"/>
          <w:bCs/>
          <w:kern w:val="44"/>
          <w:szCs w:val="32"/>
        </w:rPr>
        <w:t>、</w:t>
      </w:r>
      <w:r w:rsidRPr="009C7F0C">
        <w:rPr>
          <w:rFonts w:ascii="Times New Roman" w:hAnsi="Times New Roman" w:cs="Times New Roman" w:hint="eastAsia"/>
          <w:bCs/>
          <w:kern w:val="44"/>
          <w:szCs w:val="32"/>
        </w:rPr>
        <w:t>AUC</w:t>
      </w:r>
      <w:r w:rsidRPr="009C7F0C">
        <w:rPr>
          <w:rFonts w:ascii="Times New Roman" w:hAnsi="Times New Roman" w:cs="Times New Roman" w:hint="eastAsia"/>
          <w:bCs/>
          <w:kern w:val="44"/>
          <w:szCs w:val="32"/>
          <w:vertAlign w:val="subscript"/>
        </w:rPr>
        <w:t>0-</w:t>
      </w:r>
      <w:r w:rsidRPr="009C7F0C">
        <w:rPr>
          <w:rFonts w:ascii="Times New Roman" w:hAnsi="Times New Roman" w:cs="Times New Roman" w:hint="eastAsia"/>
          <w:bCs/>
          <w:kern w:val="44"/>
          <w:szCs w:val="32"/>
          <w:vertAlign w:val="subscript"/>
        </w:rPr>
        <w:t>∞</w:t>
      </w:r>
      <w:r w:rsidRPr="009C7F0C">
        <w:rPr>
          <w:rFonts w:ascii="Times New Roman" w:hAnsi="Times New Roman" w:cs="Times New Roman" w:hint="eastAsia"/>
          <w:bCs/>
          <w:kern w:val="44"/>
          <w:szCs w:val="32"/>
        </w:rPr>
        <w:t>、</w:t>
      </w:r>
      <w:proofErr w:type="spellStart"/>
      <w:r w:rsidRPr="009C7F0C">
        <w:rPr>
          <w:rFonts w:ascii="Times New Roman" w:hAnsi="Times New Roman" w:cs="Times New Roman" w:hint="eastAsia"/>
          <w:bCs/>
          <w:kern w:val="44"/>
          <w:szCs w:val="32"/>
        </w:rPr>
        <w:t>C</w:t>
      </w:r>
      <w:r w:rsidRPr="009C7F0C">
        <w:rPr>
          <w:rFonts w:ascii="Times New Roman" w:hAnsi="Times New Roman" w:cs="Times New Roman" w:hint="eastAsia"/>
          <w:bCs/>
          <w:kern w:val="44"/>
          <w:szCs w:val="32"/>
          <w:vertAlign w:val="subscript"/>
        </w:rPr>
        <w:t>max</w:t>
      </w:r>
      <w:proofErr w:type="spellEnd"/>
      <w:r w:rsidRPr="009C7F0C">
        <w:rPr>
          <w:rFonts w:ascii="Times New Roman" w:hAnsi="Times New Roman" w:cs="Times New Roman"/>
          <w:bCs/>
          <w:kern w:val="44"/>
          <w:szCs w:val="32"/>
        </w:rPr>
        <w:t>几何均值比值的</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置信区间数值应不低于</w:t>
      </w:r>
      <w:r w:rsidRPr="009C7F0C">
        <w:rPr>
          <w:rFonts w:ascii="Times New Roman" w:hAnsi="Times New Roman" w:cs="Times New Roman"/>
          <w:bCs/>
          <w:kern w:val="44"/>
          <w:szCs w:val="32"/>
        </w:rPr>
        <w:t>80.00%</w:t>
      </w:r>
      <w:r w:rsidRPr="009C7F0C">
        <w:rPr>
          <w:rFonts w:ascii="Times New Roman" w:hAnsi="Times New Roman" w:cs="Times New Roman"/>
          <w:bCs/>
          <w:kern w:val="44"/>
          <w:szCs w:val="32"/>
        </w:rPr>
        <w:t>，且不超过</w:t>
      </w:r>
      <w:r w:rsidRPr="009C7F0C">
        <w:rPr>
          <w:rFonts w:ascii="Times New Roman" w:hAnsi="Times New Roman" w:cs="Times New Roman"/>
          <w:bCs/>
          <w:kern w:val="44"/>
          <w:szCs w:val="32"/>
        </w:rPr>
        <w:t>125.00%</w:t>
      </w:r>
      <w:r w:rsidRPr="009C7F0C">
        <w:rPr>
          <w:rFonts w:ascii="Times New Roman" w:hAnsi="Times New Roman" w:cs="Times New Roman"/>
          <w:bCs/>
          <w:kern w:val="44"/>
          <w:szCs w:val="32"/>
        </w:rPr>
        <w:t>。</w:t>
      </w:r>
      <w:r w:rsidRPr="009C7F0C">
        <w:rPr>
          <w:rFonts w:ascii="Times New Roman" w:hAnsi="Times New Roman" w:cs="Times New Roman" w:hint="eastAsia"/>
          <w:bCs/>
          <w:kern w:val="44"/>
          <w:szCs w:val="32"/>
        </w:rPr>
        <w:t>对于</w:t>
      </w:r>
      <w:r w:rsidRPr="009C7F0C">
        <w:rPr>
          <w:rFonts w:ascii="仿宋_GB2312" w:hAnsi="宋体" w:cs="宋体" w:hint="eastAsia"/>
          <w:color w:val="000000"/>
          <w:kern w:val="0"/>
          <w:szCs w:val="32"/>
        </w:rPr>
        <w:t>脂质体</w:t>
      </w:r>
      <w:r w:rsidRPr="009C7F0C">
        <w:rPr>
          <w:rFonts w:ascii="Times New Roman" w:hAnsi="Times New Roman" w:cs="Times New Roman" w:hint="eastAsia"/>
          <w:bCs/>
          <w:kern w:val="44"/>
          <w:szCs w:val="32"/>
        </w:rPr>
        <w:t>包封的</w:t>
      </w:r>
      <w:proofErr w:type="gramStart"/>
      <w:r w:rsidRPr="009C7F0C">
        <w:rPr>
          <w:rFonts w:ascii="Times New Roman" w:hAnsi="Times New Roman" w:cs="Times New Roman" w:hint="eastAsia"/>
          <w:bCs/>
          <w:kern w:val="44"/>
          <w:szCs w:val="32"/>
        </w:rPr>
        <w:t>多柔比</w:t>
      </w:r>
      <w:proofErr w:type="gramEnd"/>
      <w:r w:rsidRPr="009C7F0C">
        <w:rPr>
          <w:rFonts w:ascii="Times New Roman" w:hAnsi="Times New Roman" w:cs="Times New Roman" w:hint="eastAsia"/>
          <w:bCs/>
          <w:kern w:val="44"/>
          <w:szCs w:val="32"/>
        </w:rPr>
        <w:t>星的部分暴露量指标（如</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0-48h</w:t>
      </w:r>
      <w:r w:rsidRPr="009C7F0C">
        <w:rPr>
          <w:rFonts w:ascii="Times New Roman" w:hAnsi="Times New Roman" w:cs="Times New Roman" w:hint="eastAsia"/>
          <w:bCs/>
          <w:kern w:val="44"/>
          <w:szCs w:val="32"/>
        </w:rPr>
        <w:t>和</w:t>
      </w:r>
      <w:r w:rsidRPr="009C7F0C">
        <w:rPr>
          <w:rFonts w:ascii="Times New Roman" w:hAnsi="Times New Roman" w:cs="Times New Roman" w:hint="eastAsia"/>
          <w:bCs/>
          <w:kern w:val="44"/>
          <w:szCs w:val="32"/>
        </w:rPr>
        <w:t>AUC</w:t>
      </w:r>
      <w:r w:rsidRPr="009C7F0C">
        <w:rPr>
          <w:rFonts w:ascii="Times New Roman" w:hAnsi="Times New Roman" w:cs="Times New Roman"/>
          <w:bCs/>
          <w:kern w:val="44"/>
          <w:szCs w:val="32"/>
          <w:vertAlign w:val="subscript"/>
        </w:rPr>
        <w:t>48h-</w:t>
      </w:r>
      <w:r w:rsidRPr="009C7F0C">
        <w:rPr>
          <w:rFonts w:ascii="Times New Roman" w:hAnsi="Times New Roman" w:cs="Times New Roman"/>
          <w:bCs/>
          <w:kern w:val="44"/>
          <w:szCs w:val="32"/>
          <w:vertAlign w:val="subscript"/>
        </w:rPr>
        <w:lastRenderedPageBreak/>
        <w:t>last</w:t>
      </w:r>
      <w:r w:rsidRPr="009C7F0C">
        <w:rPr>
          <w:rFonts w:ascii="Times New Roman" w:hAnsi="Times New Roman" w:cs="Times New Roman" w:hint="eastAsia"/>
          <w:bCs/>
          <w:kern w:val="44"/>
          <w:szCs w:val="32"/>
        </w:rPr>
        <w:t>），若等效性结论与主要评价指标的不一致，需充分分析原因以及对临床用药安全有效性的影响。</w:t>
      </w:r>
    </w:p>
    <w:p w14:paraId="4E7403DC"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Times New Roman" w:hint="eastAsia"/>
          <w:szCs w:val="32"/>
        </w:rPr>
        <w:t>其他：</w:t>
      </w:r>
      <w:r w:rsidRPr="009C7F0C">
        <w:rPr>
          <w:rFonts w:ascii="Times New Roman" w:hAnsi="Times New Roman" w:cs="Times New Roman"/>
          <w:bCs/>
          <w:kern w:val="44"/>
          <w:szCs w:val="32"/>
        </w:rPr>
        <w:t>注册申报时，除了</w:t>
      </w:r>
      <w:r w:rsidRPr="009C7F0C">
        <w:rPr>
          <w:rFonts w:ascii="Times New Roman" w:hAnsi="Times New Roman" w:cs="Times New Roman" w:hint="eastAsia"/>
          <w:bCs/>
          <w:kern w:val="44"/>
          <w:szCs w:val="32"/>
        </w:rPr>
        <w:t>上述药代动力学</w:t>
      </w:r>
      <w:r w:rsidRPr="009C7F0C">
        <w:rPr>
          <w:rFonts w:ascii="Times New Roman" w:hAnsi="Times New Roman" w:cs="Times New Roman"/>
          <w:bCs/>
          <w:kern w:val="44"/>
          <w:szCs w:val="32"/>
        </w:rPr>
        <w:t>参数之外，</w:t>
      </w:r>
      <w:r w:rsidRPr="009C7F0C">
        <w:rPr>
          <w:rFonts w:ascii="Times New Roman" w:hAnsi="Times New Roman" w:cs="Times New Roman" w:hint="eastAsia"/>
          <w:bCs/>
          <w:kern w:val="44"/>
          <w:szCs w:val="32"/>
        </w:rPr>
        <w:t>还</w:t>
      </w:r>
      <w:r w:rsidRPr="009C7F0C">
        <w:rPr>
          <w:rFonts w:ascii="Times New Roman" w:hAnsi="Times New Roman" w:cs="Times New Roman"/>
          <w:bCs/>
          <w:kern w:val="44"/>
          <w:szCs w:val="32"/>
        </w:rPr>
        <w:t>需提供</w:t>
      </w:r>
      <w:r w:rsidRPr="009C7F0C">
        <w:rPr>
          <w:rFonts w:ascii="Times New Roman" w:hAnsi="Times New Roman" w:cs="Times New Roman" w:hint="eastAsia"/>
          <w:bCs/>
          <w:kern w:val="44"/>
          <w:szCs w:val="32"/>
        </w:rPr>
        <w:t>其他全面</w:t>
      </w:r>
      <w:r w:rsidRPr="009C7F0C">
        <w:rPr>
          <w:rFonts w:ascii="Times New Roman" w:hAnsi="Times New Roman" w:cs="Times New Roman"/>
          <w:bCs/>
          <w:kern w:val="44"/>
          <w:szCs w:val="32"/>
        </w:rPr>
        <w:t>的</w:t>
      </w:r>
      <w:r w:rsidRPr="009C7F0C">
        <w:rPr>
          <w:rFonts w:ascii="Times New Roman" w:hAnsi="Times New Roman" w:cs="Times New Roman" w:hint="eastAsia"/>
          <w:bCs/>
          <w:kern w:val="44"/>
          <w:szCs w:val="32"/>
        </w:rPr>
        <w:t>药代动力学参数</w:t>
      </w:r>
      <w:r w:rsidRPr="009C7F0C">
        <w:rPr>
          <w:rFonts w:ascii="Times New Roman" w:hAnsi="Times New Roman" w:cs="Times New Roman"/>
          <w:bCs/>
          <w:kern w:val="44"/>
          <w:szCs w:val="32"/>
        </w:rPr>
        <w:t>的</w:t>
      </w:r>
      <w:r w:rsidRPr="009C7F0C">
        <w:rPr>
          <w:rFonts w:ascii="Times New Roman" w:hAnsi="Times New Roman" w:cs="Times New Roman" w:hint="eastAsia"/>
          <w:bCs/>
          <w:kern w:val="44"/>
          <w:szCs w:val="32"/>
        </w:rPr>
        <w:t>个体</w:t>
      </w:r>
      <w:r w:rsidRPr="009C7F0C">
        <w:rPr>
          <w:rFonts w:ascii="Times New Roman" w:hAnsi="Times New Roman" w:cs="Times New Roman"/>
          <w:bCs/>
          <w:kern w:val="44"/>
          <w:szCs w:val="32"/>
        </w:rPr>
        <w:t>和平均</w:t>
      </w:r>
      <w:r w:rsidRPr="009C7F0C">
        <w:rPr>
          <w:rFonts w:ascii="Times New Roman" w:hAnsi="Times New Roman" w:cs="Times New Roman" w:hint="eastAsia"/>
          <w:bCs/>
          <w:kern w:val="44"/>
          <w:szCs w:val="32"/>
        </w:rPr>
        <w:t>值</w:t>
      </w:r>
      <w:r w:rsidRPr="009C7F0C">
        <w:rPr>
          <w:rFonts w:ascii="Times New Roman" w:hAnsi="Times New Roman" w:cs="Times New Roman"/>
          <w:bCs/>
          <w:kern w:val="44"/>
          <w:szCs w:val="32"/>
        </w:rPr>
        <w:t>，</w:t>
      </w:r>
      <w:r w:rsidRPr="009C7F0C">
        <w:rPr>
          <w:rFonts w:ascii="Times New Roman" w:hAnsi="Times New Roman" w:cs="Times New Roman" w:hint="eastAsia"/>
          <w:bCs/>
          <w:kern w:val="44"/>
          <w:szCs w:val="32"/>
        </w:rPr>
        <w:t>包括但不限于达峰时间</w:t>
      </w:r>
      <w:r w:rsidRPr="009C7F0C">
        <w:rPr>
          <w:rFonts w:ascii="Times New Roman" w:hAnsi="Times New Roman" w:cs="Times New Roman"/>
          <w:bCs/>
          <w:kern w:val="44"/>
          <w:szCs w:val="32"/>
        </w:rPr>
        <w:t>、消除半衰期、清除率、表观分布容积等。</w:t>
      </w:r>
    </w:p>
    <w:p w14:paraId="53C4EA2F"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四、参考</w:t>
      </w:r>
      <w:r w:rsidRPr="009C7F0C">
        <w:rPr>
          <w:rFonts w:ascii="黑体" w:eastAsia="黑体" w:hAnsi="黑体" w:cs="Times New Roman"/>
          <w:bCs/>
          <w:kern w:val="36"/>
          <w:szCs w:val="32"/>
        </w:rPr>
        <w:t>文献</w:t>
      </w:r>
    </w:p>
    <w:p w14:paraId="4458F00E"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1.国家药品监督管理局药品审评中心. 《化学药品注射剂（特殊注射剂）仿制药质量和疗效一致性评价技术要求》（2020年5月）</w:t>
      </w:r>
    </w:p>
    <w:p w14:paraId="22FE20E7" w14:textId="4FF542DC"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2.国家药品监督管理局</w:t>
      </w:r>
      <w:r w:rsidR="00F2115E" w:rsidRPr="009C7F0C">
        <w:rPr>
          <w:rFonts w:ascii="仿宋_GB2312" w:hAnsi="Times New Roman" w:cs="Times New Roman" w:hint="eastAsia"/>
          <w:szCs w:val="32"/>
        </w:rPr>
        <w:t>药品审评中心</w:t>
      </w:r>
      <w:r w:rsidRPr="009C7F0C">
        <w:rPr>
          <w:rFonts w:ascii="仿宋_GB2312" w:hAnsi="Times New Roman" w:cs="Times New Roman" w:hint="eastAsia"/>
          <w:szCs w:val="32"/>
        </w:rPr>
        <w:t>. 《化学药品注射剂仿制药质量和疗效一致性评价技术要求》（2020年5月）</w:t>
      </w:r>
    </w:p>
    <w:p w14:paraId="0A411344"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3.《国家药监局关于进一步完善药品关联审评审批和监管工作有关事宜的公告》（2019年第56号）</w:t>
      </w:r>
    </w:p>
    <w:p w14:paraId="7D8CC6E8"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 xml:space="preserve">4.A. </w:t>
      </w:r>
      <w:proofErr w:type="spellStart"/>
      <w:r w:rsidRPr="009C7F0C">
        <w:rPr>
          <w:rFonts w:ascii="仿宋_GB2312" w:hAnsi="Times New Roman" w:cs="Times New Roman" w:hint="eastAsia"/>
          <w:szCs w:val="32"/>
        </w:rPr>
        <w:t>Gabizon</w:t>
      </w:r>
      <w:proofErr w:type="spellEnd"/>
      <w:r w:rsidRPr="009C7F0C">
        <w:rPr>
          <w:rFonts w:ascii="仿宋_GB2312" w:hAnsi="Times New Roman" w:cs="Times New Roman" w:hint="eastAsia"/>
          <w:szCs w:val="32"/>
        </w:rPr>
        <w:t xml:space="preserve">, H. </w:t>
      </w:r>
      <w:proofErr w:type="spellStart"/>
      <w:r w:rsidRPr="009C7F0C">
        <w:rPr>
          <w:rFonts w:ascii="仿宋_GB2312" w:hAnsi="Times New Roman" w:cs="Times New Roman" w:hint="eastAsia"/>
          <w:szCs w:val="32"/>
        </w:rPr>
        <w:t>Sheemda</w:t>
      </w:r>
      <w:proofErr w:type="spellEnd"/>
      <w:r w:rsidRPr="009C7F0C">
        <w:rPr>
          <w:rFonts w:ascii="仿宋_GB2312" w:hAnsi="Times New Roman" w:cs="Times New Roman" w:hint="eastAsia"/>
          <w:szCs w:val="32"/>
        </w:rPr>
        <w:t xml:space="preserve">, Y. </w:t>
      </w:r>
      <w:proofErr w:type="spellStart"/>
      <w:r w:rsidRPr="009C7F0C">
        <w:rPr>
          <w:rFonts w:ascii="仿宋_GB2312" w:hAnsi="Times New Roman" w:cs="Times New Roman" w:hint="eastAsia"/>
          <w:szCs w:val="32"/>
        </w:rPr>
        <w:t>Barenholz</w:t>
      </w:r>
      <w:proofErr w:type="spellEnd"/>
      <w:r w:rsidRPr="009C7F0C">
        <w:rPr>
          <w:rFonts w:ascii="仿宋_GB2312" w:hAnsi="Times New Roman" w:cs="Times New Roman" w:hint="eastAsia"/>
          <w:szCs w:val="32"/>
        </w:rPr>
        <w:t xml:space="preserve">. Pharmacokinetics of pegylated liposome doxorubicin: review of animal and human studies. Clin </w:t>
      </w:r>
      <w:proofErr w:type="spellStart"/>
      <w:r w:rsidRPr="009C7F0C">
        <w:rPr>
          <w:rFonts w:ascii="仿宋_GB2312" w:hAnsi="Times New Roman" w:cs="Times New Roman" w:hint="eastAsia"/>
          <w:szCs w:val="32"/>
        </w:rPr>
        <w:t>Pharmcokinet</w:t>
      </w:r>
      <w:proofErr w:type="spellEnd"/>
      <w:r w:rsidRPr="009C7F0C">
        <w:rPr>
          <w:rFonts w:ascii="仿宋_GB2312" w:hAnsi="Times New Roman" w:cs="Times New Roman" w:hint="eastAsia"/>
          <w:szCs w:val="32"/>
        </w:rPr>
        <w:t xml:space="preserve"> 42(5): 419-436 (2003)</w:t>
      </w:r>
    </w:p>
    <w:p w14:paraId="1CB79CC2" w14:textId="77777777" w:rsidR="009C7F0C" w:rsidRPr="009C7F0C" w:rsidRDefault="009C7F0C" w:rsidP="009C7F0C">
      <w:pPr>
        <w:topLinePunct/>
        <w:spacing w:line="360" w:lineRule="auto"/>
        <w:ind w:firstLineChars="200" w:firstLine="640"/>
        <w:rPr>
          <w:rFonts w:ascii="仿宋_GB2312" w:hAnsi="宋体" w:cs="Times New Roman"/>
          <w:szCs w:val="32"/>
        </w:rPr>
      </w:pPr>
      <w:r w:rsidRPr="009C7F0C">
        <w:rPr>
          <w:rFonts w:ascii="仿宋_GB2312" w:hAnsi="Times New Roman" w:cs="Times New Roman" w:hint="eastAsia"/>
          <w:szCs w:val="32"/>
        </w:rPr>
        <w:t>5.国家药品监督管理局药品审评中心. 《化学仿制药注册批生产规模的一般性要求（试行）》（2018年6月）</w:t>
      </w:r>
    </w:p>
    <w:p w14:paraId="4B05764C"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6. FDA-Recommended Dissolution Methods Web site, http://www.accessdata.fda.gov/scripts/cder/dissolutio</w:t>
      </w:r>
      <w:r w:rsidRPr="009C7F0C">
        <w:rPr>
          <w:rFonts w:ascii="仿宋_GB2312" w:hAnsi="Times New Roman" w:cs="Times New Roman" w:hint="eastAsia"/>
          <w:szCs w:val="32"/>
        </w:rPr>
        <w:lastRenderedPageBreak/>
        <w:t>n/.</w:t>
      </w:r>
    </w:p>
    <w:p w14:paraId="2B9827D0"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7.（原）国家食品药品监督管理总局. 《以药动学参数为终点评价指标的化学药物仿制药人体生物等效性研究技术指导原则》（2016年第61号通告）</w:t>
      </w:r>
    </w:p>
    <w:p w14:paraId="073C271D"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8.</w:t>
      </w:r>
      <w:r w:rsidRPr="009C7F0C" w:rsidDel="00C87369">
        <w:rPr>
          <w:rFonts w:ascii="仿宋_GB2312" w:hAnsi="Times New Roman" w:cs="Times New Roman" w:hint="eastAsia"/>
          <w:szCs w:val="32"/>
        </w:rPr>
        <w:t xml:space="preserve"> </w:t>
      </w:r>
      <w:r w:rsidRPr="009C7F0C">
        <w:rPr>
          <w:rFonts w:ascii="仿宋_GB2312" w:hAnsi="Times New Roman" w:cs="Times New Roman" w:hint="eastAsia"/>
          <w:szCs w:val="32"/>
        </w:rPr>
        <w:t>国家药品监督管理局药品审评中心. 《生物等效性研究的统计学指导原则》（2018年10月）</w:t>
      </w:r>
    </w:p>
    <w:p w14:paraId="29B54121"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9.</w:t>
      </w:r>
      <w:r w:rsidRPr="009C7F0C">
        <w:rPr>
          <w:rFonts w:ascii="仿宋_GB2312" w:hAnsi="Times New Roman" w:cs="Times New Roman" w:hint="eastAsia"/>
          <w:bCs/>
          <w:szCs w:val="32"/>
        </w:rPr>
        <w:t xml:space="preserve"> </w:t>
      </w:r>
      <w:r w:rsidRPr="009C7F0C">
        <w:rPr>
          <w:rFonts w:ascii="仿宋_GB2312" w:hAnsi="Times New Roman" w:cs="Times New Roman" w:hint="eastAsia"/>
          <w:szCs w:val="32"/>
        </w:rPr>
        <w:t>Food and Drug Administration. Draft Guidance on Doxorubicin Hydrochloride. Recommended Feb 2010; Revised Nov 2013, Dec 2014, Apr 2017, Sept 2018</w:t>
      </w:r>
    </w:p>
    <w:p w14:paraId="29904E4E"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 xml:space="preserve">10. </w:t>
      </w:r>
      <w:r w:rsidRPr="009C7F0C">
        <w:rPr>
          <w:rFonts w:ascii="仿宋_GB2312" w:hAnsi="Times New Roman" w:cs="Times New Roman" w:hint="eastAsia"/>
          <w:bCs/>
          <w:szCs w:val="32"/>
        </w:rPr>
        <w:t>European Medicines Agency. Pegylated liposomal doxorubicin hydrochloride concentrate for solution 2 mg/ml product-specific bioequivalence guidance. 1 July 2019, EMA/CHMP/800775/2017</w:t>
      </w:r>
    </w:p>
    <w:p w14:paraId="3AB7AF1C" w14:textId="7BF81060" w:rsidR="003F48E0" w:rsidRPr="00196C1D" w:rsidRDefault="003F48E0" w:rsidP="007E12D8">
      <w:pPr>
        <w:widowControl/>
        <w:jc w:val="left"/>
      </w:pPr>
    </w:p>
    <w:sectPr w:rsidR="003F48E0" w:rsidRPr="00196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E19A" w14:textId="77777777" w:rsidR="00DF5C75" w:rsidRDefault="00DF5C75" w:rsidP="009714E8">
      <w:r>
        <w:separator/>
      </w:r>
    </w:p>
  </w:endnote>
  <w:endnote w:type="continuationSeparator" w:id="0">
    <w:p w14:paraId="599728C0" w14:textId="77777777" w:rsidR="00DF5C75" w:rsidRDefault="00DF5C75" w:rsidP="0097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EB11B" w14:textId="77777777" w:rsidR="00DF5C75" w:rsidRDefault="00DF5C75" w:rsidP="009714E8">
      <w:r>
        <w:separator/>
      </w:r>
    </w:p>
  </w:footnote>
  <w:footnote w:type="continuationSeparator" w:id="0">
    <w:p w14:paraId="4C4EA1FB" w14:textId="77777777" w:rsidR="00DF5C75" w:rsidRDefault="00DF5C75" w:rsidP="0097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7C9"/>
    <w:multiLevelType w:val="hybridMultilevel"/>
    <w:tmpl w:val="3CE0CF00"/>
    <w:lvl w:ilvl="0" w:tplc="F72AC0F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681443"/>
    <w:multiLevelType w:val="hybridMultilevel"/>
    <w:tmpl w:val="E11C9A4E"/>
    <w:lvl w:ilvl="0" w:tplc="3DB845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5F6603"/>
    <w:multiLevelType w:val="hybridMultilevel"/>
    <w:tmpl w:val="9C9ED7AC"/>
    <w:lvl w:ilvl="0" w:tplc="3DB84544">
      <w:start w:val="1"/>
      <w:numFmt w:val="lowerLetter"/>
      <w:lvlText w:val="%1."/>
      <w:lvlJc w:val="left"/>
      <w:pPr>
        <w:ind w:left="2415" w:hanging="420"/>
      </w:pPr>
      <w:rPr>
        <w:rFonts w:hint="eastAsia"/>
      </w:rPr>
    </w:lvl>
    <w:lvl w:ilvl="1" w:tplc="04090019">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5C"/>
    <w:rsid w:val="00002B95"/>
    <w:rsid w:val="000050A0"/>
    <w:rsid w:val="000152B7"/>
    <w:rsid w:val="000173E7"/>
    <w:rsid w:val="00021D28"/>
    <w:rsid w:val="0002539B"/>
    <w:rsid w:val="00025672"/>
    <w:rsid w:val="00025FE3"/>
    <w:rsid w:val="00027699"/>
    <w:rsid w:val="00030E09"/>
    <w:rsid w:val="000326DE"/>
    <w:rsid w:val="00032962"/>
    <w:rsid w:val="00035521"/>
    <w:rsid w:val="000473AE"/>
    <w:rsid w:val="00047D68"/>
    <w:rsid w:val="00052E71"/>
    <w:rsid w:val="00060B2F"/>
    <w:rsid w:val="00060D33"/>
    <w:rsid w:val="000630E9"/>
    <w:rsid w:val="000644FD"/>
    <w:rsid w:val="00070407"/>
    <w:rsid w:val="00072D2F"/>
    <w:rsid w:val="00072F17"/>
    <w:rsid w:val="000766A6"/>
    <w:rsid w:val="00084CC5"/>
    <w:rsid w:val="00084F04"/>
    <w:rsid w:val="00085A60"/>
    <w:rsid w:val="00086E6F"/>
    <w:rsid w:val="00087678"/>
    <w:rsid w:val="0009079D"/>
    <w:rsid w:val="00091EC6"/>
    <w:rsid w:val="00094BB9"/>
    <w:rsid w:val="000975FE"/>
    <w:rsid w:val="00097831"/>
    <w:rsid w:val="000A0C83"/>
    <w:rsid w:val="000A152A"/>
    <w:rsid w:val="000A269F"/>
    <w:rsid w:val="000A284E"/>
    <w:rsid w:val="000A5513"/>
    <w:rsid w:val="000A5AA8"/>
    <w:rsid w:val="000A7119"/>
    <w:rsid w:val="000B1FD4"/>
    <w:rsid w:val="000C11ED"/>
    <w:rsid w:val="000C61EE"/>
    <w:rsid w:val="000C779A"/>
    <w:rsid w:val="000D076E"/>
    <w:rsid w:val="000D1CD1"/>
    <w:rsid w:val="000D2B60"/>
    <w:rsid w:val="000D34C0"/>
    <w:rsid w:val="000D50D7"/>
    <w:rsid w:val="000D7224"/>
    <w:rsid w:val="000E3BF2"/>
    <w:rsid w:val="000E4DC0"/>
    <w:rsid w:val="000E58F5"/>
    <w:rsid w:val="000F17F0"/>
    <w:rsid w:val="000F243C"/>
    <w:rsid w:val="000F3775"/>
    <w:rsid w:val="000F5660"/>
    <w:rsid w:val="000F5C9B"/>
    <w:rsid w:val="00105046"/>
    <w:rsid w:val="00105D85"/>
    <w:rsid w:val="001065E1"/>
    <w:rsid w:val="00110A1B"/>
    <w:rsid w:val="00110C0B"/>
    <w:rsid w:val="001217D1"/>
    <w:rsid w:val="0012460C"/>
    <w:rsid w:val="00125D5B"/>
    <w:rsid w:val="00127ACA"/>
    <w:rsid w:val="00131570"/>
    <w:rsid w:val="001326B0"/>
    <w:rsid w:val="00134268"/>
    <w:rsid w:val="00141788"/>
    <w:rsid w:val="00144071"/>
    <w:rsid w:val="001443BB"/>
    <w:rsid w:val="001471B8"/>
    <w:rsid w:val="00147A44"/>
    <w:rsid w:val="00151667"/>
    <w:rsid w:val="00152E86"/>
    <w:rsid w:val="00154B69"/>
    <w:rsid w:val="001560F4"/>
    <w:rsid w:val="001733CE"/>
    <w:rsid w:val="00173B20"/>
    <w:rsid w:val="00180C0C"/>
    <w:rsid w:val="00180E3F"/>
    <w:rsid w:val="00191A89"/>
    <w:rsid w:val="001955F8"/>
    <w:rsid w:val="00196C1D"/>
    <w:rsid w:val="00196E7E"/>
    <w:rsid w:val="0019792E"/>
    <w:rsid w:val="001A134A"/>
    <w:rsid w:val="001A1D66"/>
    <w:rsid w:val="001A3E57"/>
    <w:rsid w:val="001A63CE"/>
    <w:rsid w:val="001A6EB0"/>
    <w:rsid w:val="001A7BA0"/>
    <w:rsid w:val="001A7BB0"/>
    <w:rsid w:val="001A7FCD"/>
    <w:rsid w:val="001B09CB"/>
    <w:rsid w:val="001B0AD5"/>
    <w:rsid w:val="001B51B6"/>
    <w:rsid w:val="001B5D12"/>
    <w:rsid w:val="001B7355"/>
    <w:rsid w:val="001C0025"/>
    <w:rsid w:val="001C27DF"/>
    <w:rsid w:val="001C3197"/>
    <w:rsid w:val="001C48F1"/>
    <w:rsid w:val="001C58C9"/>
    <w:rsid w:val="001D2EFD"/>
    <w:rsid w:val="001E4C58"/>
    <w:rsid w:val="001E5753"/>
    <w:rsid w:val="001E5CC9"/>
    <w:rsid w:val="001F32C8"/>
    <w:rsid w:val="001F3DFC"/>
    <w:rsid w:val="001F70FF"/>
    <w:rsid w:val="0020209F"/>
    <w:rsid w:val="00203A27"/>
    <w:rsid w:val="00205B45"/>
    <w:rsid w:val="00206B5E"/>
    <w:rsid w:val="00207B1A"/>
    <w:rsid w:val="00217729"/>
    <w:rsid w:val="00220B02"/>
    <w:rsid w:val="00221F97"/>
    <w:rsid w:val="0022202E"/>
    <w:rsid w:val="00223BA6"/>
    <w:rsid w:val="00232196"/>
    <w:rsid w:val="00233FD6"/>
    <w:rsid w:val="0023592C"/>
    <w:rsid w:val="00240B21"/>
    <w:rsid w:val="00242227"/>
    <w:rsid w:val="00242E45"/>
    <w:rsid w:val="0024333E"/>
    <w:rsid w:val="002450DA"/>
    <w:rsid w:val="00245F16"/>
    <w:rsid w:val="00246923"/>
    <w:rsid w:val="002476FA"/>
    <w:rsid w:val="00250811"/>
    <w:rsid w:val="00250E3B"/>
    <w:rsid w:val="00252153"/>
    <w:rsid w:val="002546FD"/>
    <w:rsid w:val="00255FD0"/>
    <w:rsid w:val="00257837"/>
    <w:rsid w:val="00260434"/>
    <w:rsid w:val="00266BE3"/>
    <w:rsid w:val="00271464"/>
    <w:rsid w:val="002749CA"/>
    <w:rsid w:val="00283993"/>
    <w:rsid w:val="00284835"/>
    <w:rsid w:val="00285B9B"/>
    <w:rsid w:val="00285BD6"/>
    <w:rsid w:val="00287840"/>
    <w:rsid w:val="0029136E"/>
    <w:rsid w:val="0029168B"/>
    <w:rsid w:val="00292E9C"/>
    <w:rsid w:val="002940B6"/>
    <w:rsid w:val="002945E4"/>
    <w:rsid w:val="00296C17"/>
    <w:rsid w:val="002978C0"/>
    <w:rsid w:val="002A0632"/>
    <w:rsid w:val="002A18F7"/>
    <w:rsid w:val="002A2138"/>
    <w:rsid w:val="002A273C"/>
    <w:rsid w:val="002A6D82"/>
    <w:rsid w:val="002A754E"/>
    <w:rsid w:val="002B09DF"/>
    <w:rsid w:val="002B1AF3"/>
    <w:rsid w:val="002B2AD2"/>
    <w:rsid w:val="002B3161"/>
    <w:rsid w:val="002B3770"/>
    <w:rsid w:val="002B3BB3"/>
    <w:rsid w:val="002B5C78"/>
    <w:rsid w:val="002B7024"/>
    <w:rsid w:val="002B70A5"/>
    <w:rsid w:val="002C30EF"/>
    <w:rsid w:val="002C5AE2"/>
    <w:rsid w:val="002C6B8A"/>
    <w:rsid w:val="002C6CA9"/>
    <w:rsid w:val="002D424B"/>
    <w:rsid w:val="002D44F7"/>
    <w:rsid w:val="002D5C4C"/>
    <w:rsid w:val="002D6428"/>
    <w:rsid w:val="002D7DAC"/>
    <w:rsid w:val="002F40AE"/>
    <w:rsid w:val="00300B44"/>
    <w:rsid w:val="00303302"/>
    <w:rsid w:val="00303C73"/>
    <w:rsid w:val="003076A7"/>
    <w:rsid w:val="00311F9D"/>
    <w:rsid w:val="00313019"/>
    <w:rsid w:val="00313955"/>
    <w:rsid w:val="00313DFA"/>
    <w:rsid w:val="00315233"/>
    <w:rsid w:val="0031685E"/>
    <w:rsid w:val="00320FB2"/>
    <w:rsid w:val="00324194"/>
    <w:rsid w:val="00326E45"/>
    <w:rsid w:val="003273DC"/>
    <w:rsid w:val="00336493"/>
    <w:rsid w:val="00337B40"/>
    <w:rsid w:val="0034155D"/>
    <w:rsid w:val="00341638"/>
    <w:rsid w:val="0034206C"/>
    <w:rsid w:val="00342C16"/>
    <w:rsid w:val="003445F7"/>
    <w:rsid w:val="00351C11"/>
    <w:rsid w:val="00351C1A"/>
    <w:rsid w:val="003532CB"/>
    <w:rsid w:val="0036161C"/>
    <w:rsid w:val="003636E0"/>
    <w:rsid w:val="003734DB"/>
    <w:rsid w:val="00374448"/>
    <w:rsid w:val="00374F35"/>
    <w:rsid w:val="00384F15"/>
    <w:rsid w:val="00387403"/>
    <w:rsid w:val="00391ADB"/>
    <w:rsid w:val="00392E00"/>
    <w:rsid w:val="003942F3"/>
    <w:rsid w:val="0039643D"/>
    <w:rsid w:val="00397E81"/>
    <w:rsid w:val="003A0AF3"/>
    <w:rsid w:val="003A1CAB"/>
    <w:rsid w:val="003A3FA2"/>
    <w:rsid w:val="003A6110"/>
    <w:rsid w:val="003A7DD9"/>
    <w:rsid w:val="003B070E"/>
    <w:rsid w:val="003B27E9"/>
    <w:rsid w:val="003B2B44"/>
    <w:rsid w:val="003B31E0"/>
    <w:rsid w:val="003B3D56"/>
    <w:rsid w:val="003B429F"/>
    <w:rsid w:val="003B5ABC"/>
    <w:rsid w:val="003B7068"/>
    <w:rsid w:val="003B75D6"/>
    <w:rsid w:val="003B77DD"/>
    <w:rsid w:val="003B7F60"/>
    <w:rsid w:val="003C1BE9"/>
    <w:rsid w:val="003C2476"/>
    <w:rsid w:val="003C2C9A"/>
    <w:rsid w:val="003D2474"/>
    <w:rsid w:val="003D4C08"/>
    <w:rsid w:val="003D67A5"/>
    <w:rsid w:val="003E1AFC"/>
    <w:rsid w:val="003E3DF0"/>
    <w:rsid w:val="003E4C0F"/>
    <w:rsid w:val="003E4F42"/>
    <w:rsid w:val="003E5AA0"/>
    <w:rsid w:val="003F03E7"/>
    <w:rsid w:val="003F1333"/>
    <w:rsid w:val="003F3428"/>
    <w:rsid w:val="003F48E0"/>
    <w:rsid w:val="003F7706"/>
    <w:rsid w:val="0040034D"/>
    <w:rsid w:val="004009BB"/>
    <w:rsid w:val="004034C3"/>
    <w:rsid w:val="00403C4A"/>
    <w:rsid w:val="00411139"/>
    <w:rsid w:val="004112CB"/>
    <w:rsid w:val="004134B0"/>
    <w:rsid w:val="00416CB7"/>
    <w:rsid w:val="0041744B"/>
    <w:rsid w:val="004210A8"/>
    <w:rsid w:val="00421590"/>
    <w:rsid w:val="00431838"/>
    <w:rsid w:val="00433F1B"/>
    <w:rsid w:val="004344B1"/>
    <w:rsid w:val="0043507B"/>
    <w:rsid w:val="00446855"/>
    <w:rsid w:val="00452ACF"/>
    <w:rsid w:val="00452CA0"/>
    <w:rsid w:val="00452E63"/>
    <w:rsid w:val="0045504F"/>
    <w:rsid w:val="00455C0F"/>
    <w:rsid w:val="00455DBD"/>
    <w:rsid w:val="004568CF"/>
    <w:rsid w:val="00457899"/>
    <w:rsid w:val="004649E5"/>
    <w:rsid w:val="00464CBE"/>
    <w:rsid w:val="0046693E"/>
    <w:rsid w:val="00466940"/>
    <w:rsid w:val="00472F21"/>
    <w:rsid w:val="00473767"/>
    <w:rsid w:val="00475A11"/>
    <w:rsid w:val="00475FBB"/>
    <w:rsid w:val="00477433"/>
    <w:rsid w:val="004836C7"/>
    <w:rsid w:val="00485D49"/>
    <w:rsid w:val="004873B3"/>
    <w:rsid w:val="00493545"/>
    <w:rsid w:val="0049558A"/>
    <w:rsid w:val="004964DB"/>
    <w:rsid w:val="00497D67"/>
    <w:rsid w:val="004A0315"/>
    <w:rsid w:val="004A2030"/>
    <w:rsid w:val="004A378F"/>
    <w:rsid w:val="004A3A4C"/>
    <w:rsid w:val="004A3C05"/>
    <w:rsid w:val="004A60AE"/>
    <w:rsid w:val="004B7A65"/>
    <w:rsid w:val="004C5AD2"/>
    <w:rsid w:val="004D049F"/>
    <w:rsid w:val="004D1A7C"/>
    <w:rsid w:val="004D2262"/>
    <w:rsid w:val="004D2765"/>
    <w:rsid w:val="004D3145"/>
    <w:rsid w:val="004D3415"/>
    <w:rsid w:val="004D377F"/>
    <w:rsid w:val="004D7B65"/>
    <w:rsid w:val="004E04C2"/>
    <w:rsid w:val="004E05DD"/>
    <w:rsid w:val="004E2C3F"/>
    <w:rsid w:val="004E4D15"/>
    <w:rsid w:val="004F1C2F"/>
    <w:rsid w:val="004F4FE8"/>
    <w:rsid w:val="004F6856"/>
    <w:rsid w:val="00501039"/>
    <w:rsid w:val="0050473F"/>
    <w:rsid w:val="00505391"/>
    <w:rsid w:val="005078BC"/>
    <w:rsid w:val="00507A38"/>
    <w:rsid w:val="00507F7B"/>
    <w:rsid w:val="0051161C"/>
    <w:rsid w:val="0051190D"/>
    <w:rsid w:val="0051452C"/>
    <w:rsid w:val="0051582A"/>
    <w:rsid w:val="005158CE"/>
    <w:rsid w:val="005218F1"/>
    <w:rsid w:val="00521E4C"/>
    <w:rsid w:val="0052225B"/>
    <w:rsid w:val="00523955"/>
    <w:rsid w:val="00533167"/>
    <w:rsid w:val="00533C6E"/>
    <w:rsid w:val="00533FF5"/>
    <w:rsid w:val="00541249"/>
    <w:rsid w:val="00541D3D"/>
    <w:rsid w:val="00544794"/>
    <w:rsid w:val="00544889"/>
    <w:rsid w:val="00545AFC"/>
    <w:rsid w:val="00547DF9"/>
    <w:rsid w:val="0055028C"/>
    <w:rsid w:val="00550C7D"/>
    <w:rsid w:val="00551363"/>
    <w:rsid w:val="0055350F"/>
    <w:rsid w:val="00553F9C"/>
    <w:rsid w:val="00554B45"/>
    <w:rsid w:val="00561211"/>
    <w:rsid w:val="0056545C"/>
    <w:rsid w:val="005666B8"/>
    <w:rsid w:val="00571DBA"/>
    <w:rsid w:val="00572CA6"/>
    <w:rsid w:val="005738A3"/>
    <w:rsid w:val="005748FD"/>
    <w:rsid w:val="005750D1"/>
    <w:rsid w:val="00580528"/>
    <w:rsid w:val="00581255"/>
    <w:rsid w:val="00583E30"/>
    <w:rsid w:val="00591921"/>
    <w:rsid w:val="00594FD8"/>
    <w:rsid w:val="005A158A"/>
    <w:rsid w:val="005B0AEC"/>
    <w:rsid w:val="005B5976"/>
    <w:rsid w:val="005B5F6A"/>
    <w:rsid w:val="005B7BE1"/>
    <w:rsid w:val="005C3396"/>
    <w:rsid w:val="005C54E6"/>
    <w:rsid w:val="005D4206"/>
    <w:rsid w:val="005D5136"/>
    <w:rsid w:val="005D7606"/>
    <w:rsid w:val="005E1899"/>
    <w:rsid w:val="005E1BC6"/>
    <w:rsid w:val="005E4BAF"/>
    <w:rsid w:val="005E6912"/>
    <w:rsid w:val="005F17A9"/>
    <w:rsid w:val="0060244B"/>
    <w:rsid w:val="00603A81"/>
    <w:rsid w:val="00610516"/>
    <w:rsid w:val="00610A4B"/>
    <w:rsid w:val="00613107"/>
    <w:rsid w:val="00613DB9"/>
    <w:rsid w:val="006143C2"/>
    <w:rsid w:val="006167E2"/>
    <w:rsid w:val="00617E89"/>
    <w:rsid w:val="00620A4D"/>
    <w:rsid w:val="00632A89"/>
    <w:rsid w:val="00635DC7"/>
    <w:rsid w:val="006367D9"/>
    <w:rsid w:val="0063680D"/>
    <w:rsid w:val="006373D0"/>
    <w:rsid w:val="006469B3"/>
    <w:rsid w:val="006515DD"/>
    <w:rsid w:val="00651883"/>
    <w:rsid w:val="00651D9C"/>
    <w:rsid w:val="00652644"/>
    <w:rsid w:val="00653807"/>
    <w:rsid w:val="00670CFF"/>
    <w:rsid w:val="00671D35"/>
    <w:rsid w:val="00672132"/>
    <w:rsid w:val="00673A2A"/>
    <w:rsid w:val="006744AB"/>
    <w:rsid w:val="00677007"/>
    <w:rsid w:val="0068006C"/>
    <w:rsid w:val="00682768"/>
    <w:rsid w:val="0068429E"/>
    <w:rsid w:val="006849D0"/>
    <w:rsid w:val="0068697E"/>
    <w:rsid w:val="00687AE1"/>
    <w:rsid w:val="00694BA3"/>
    <w:rsid w:val="00696AEF"/>
    <w:rsid w:val="00697149"/>
    <w:rsid w:val="006A15E3"/>
    <w:rsid w:val="006A282F"/>
    <w:rsid w:val="006A6C8B"/>
    <w:rsid w:val="006A721E"/>
    <w:rsid w:val="006B2E0E"/>
    <w:rsid w:val="006B629C"/>
    <w:rsid w:val="006B7831"/>
    <w:rsid w:val="006C0F57"/>
    <w:rsid w:val="006C108A"/>
    <w:rsid w:val="006C18DE"/>
    <w:rsid w:val="006C2345"/>
    <w:rsid w:val="006C3538"/>
    <w:rsid w:val="006C6A34"/>
    <w:rsid w:val="006D18F6"/>
    <w:rsid w:val="006D4D18"/>
    <w:rsid w:val="006D60FE"/>
    <w:rsid w:val="006D73AF"/>
    <w:rsid w:val="006E43CB"/>
    <w:rsid w:val="006E5C1D"/>
    <w:rsid w:val="006F1967"/>
    <w:rsid w:val="006F1EA2"/>
    <w:rsid w:val="006F2FC0"/>
    <w:rsid w:val="006F42D3"/>
    <w:rsid w:val="006F4820"/>
    <w:rsid w:val="006F6515"/>
    <w:rsid w:val="006F6A8F"/>
    <w:rsid w:val="00702C68"/>
    <w:rsid w:val="00704575"/>
    <w:rsid w:val="0070562E"/>
    <w:rsid w:val="00707679"/>
    <w:rsid w:val="00711892"/>
    <w:rsid w:val="00716650"/>
    <w:rsid w:val="00720178"/>
    <w:rsid w:val="00720EB2"/>
    <w:rsid w:val="00721C8F"/>
    <w:rsid w:val="00722AFE"/>
    <w:rsid w:val="0072516A"/>
    <w:rsid w:val="00730DB0"/>
    <w:rsid w:val="00730ED6"/>
    <w:rsid w:val="0073212B"/>
    <w:rsid w:val="007366E5"/>
    <w:rsid w:val="0074481C"/>
    <w:rsid w:val="00744A81"/>
    <w:rsid w:val="00750174"/>
    <w:rsid w:val="00750DA5"/>
    <w:rsid w:val="00754189"/>
    <w:rsid w:val="00762C81"/>
    <w:rsid w:val="00762D65"/>
    <w:rsid w:val="007644D7"/>
    <w:rsid w:val="0077361C"/>
    <w:rsid w:val="00784002"/>
    <w:rsid w:val="00786329"/>
    <w:rsid w:val="00786938"/>
    <w:rsid w:val="00795C9E"/>
    <w:rsid w:val="00797AD3"/>
    <w:rsid w:val="007A1C73"/>
    <w:rsid w:val="007A2E72"/>
    <w:rsid w:val="007B1F04"/>
    <w:rsid w:val="007B7620"/>
    <w:rsid w:val="007C2146"/>
    <w:rsid w:val="007C4F0B"/>
    <w:rsid w:val="007C5BED"/>
    <w:rsid w:val="007C6BB9"/>
    <w:rsid w:val="007C7E35"/>
    <w:rsid w:val="007D0ECA"/>
    <w:rsid w:val="007D3502"/>
    <w:rsid w:val="007D6378"/>
    <w:rsid w:val="007E12D8"/>
    <w:rsid w:val="007E227A"/>
    <w:rsid w:val="007E3385"/>
    <w:rsid w:val="007E3581"/>
    <w:rsid w:val="007E4891"/>
    <w:rsid w:val="007E7A02"/>
    <w:rsid w:val="007F1CB6"/>
    <w:rsid w:val="007F1EB1"/>
    <w:rsid w:val="007F2519"/>
    <w:rsid w:val="007F3551"/>
    <w:rsid w:val="007F67D0"/>
    <w:rsid w:val="008015D3"/>
    <w:rsid w:val="00802CF7"/>
    <w:rsid w:val="0080317E"/>
    <w:rsid w:val="008045E6"/>
    <w:rsid w:val="008047E0"/>
    <w:rsid w:val="00814015"/>
    <w:rsid w:val="00820788"/>
    <w:rsid w:val="00823B28"/>
    <w:rsid w:val="0082564C"/>
    <w:rsid w:val="00827465"/>
    <w:rsid w:val="00832DD5"/>
    <w:rsid w:val="008333DF"/>
    <w:rsid w:val="00844448"/>
    <w:rsid w:val="00847CC3"/>
    <w:rsid w:val="00854C6C"/>
    <w:rsid w:val="008557B7"/>
    <w:rsid w:val="00855BF9"/>
    <w:rsid w:val="00857545"/>
    <w:rsid w:val="00862524"/>
    <w:rsid w:val="00870141"/>
    <w:rsid w:val="00870D58"/>
    <w:rsid w:val="00884517"/>
    <w:rsid w:val="008950D1"/>
    <w:rsid w:val="008A140A"/>
    <w:rsid w:val="008A1F4F"/>
    <w:rsid w:val="008A2C4A"/>
    <w:rsid w:val="008A4A20"/>
    <w:rsid w:val="008A5480"/>
    <w:rsid w:val="008B4883"/>
    <w:rsid w:val="008B68D9"/>
    <w:rsid w:val="008B6B97"/>
    <w:rsid w:val="008C0E0D"/>
    <w:rsid w:val="008C6120"/>
    <w:rsid w:val="008D0956"/>
    <w:rsid w:val="008D1727"/>
    <w:rsid w:val="008D5909"/>
    <w:rsid w:val="008D5B11"/>
    <w:rsid w:val="008E0FDB"/>
    <w:rsid w:val="008F2FD5"/>
    <w:rsid w:val="008F32A5"/>
    <w:rsid w:val="008F6B28"/>
    <w:rsid w:val="008F7905"/>
    <w:rsid w:val="00904053"/>
    <w:rsid w:val="0090794C"/>
    <w:rsid w:val="00910011"/>
    <w:rsid w:val="00910975"/>
    <w:rsid w:val="009143D2"/>
    <w:rsid w:val="009154BA"/>
    <w:rsid w:val="00917127"/>
    <w:rsid w:val="00917604"/>
    <w:rsid w:val="00917EC0"/>
    <w:rsid w:val="0092181B"/>
    <w:rsid w:val="009227C5"/>
    <w:rsid w:val="00923332"/>
    <w:rsid w:val="00923389"/>
    <w:rsid w:val="00925FDD"/>
    <w:rsid w:val="00927AC0"/>
    <w:rsid w:val="00930C26"/>
    <w:rsid w:val="0093224B"/>
    <w:rsid w:val="00934CCD"/>
    <w:rsid w:val="00941B24"/>
    <w:rsid w:val="00941D8E"/>
    <w:rsid w:val="00946F35"/>
    <w:rsid w:val="00951FF2"/>
    <w:rsid w:val="009545BB"/>
    <w:rsid w:val="00955064"/>
    <w:rsid w:val="00956C88"/>
    <w:rsid w:val="0095749D"/>
    <w:rsid w:val="0095756D"/>
    <w:rsid w:val="009612D9"/>
    <w:rsid w:val="00961332"/>
    <w:rsid w:val="009613A4"/>
    <w:rsid w:val="009613C0"/>
    <w:rsid w:val="00961F4A"/>
    <w:rsid w:val="00963F2C"/>
    <w:rsid w:val="00966AEE"/>
    <w:rsid w:val="0096775C"/>
    <w:rsid w:val="009714E8"/>
    <w:rsid w:val="009726B2"/>
    <w:rsid w:val="00973715"/>
    <w:rsid w:val="00974B1E"/>
    <w:rsid w:val="0097644B"/>
    <w:rsid w:val="00977B8C"/>
    <w:rsid w:val="00982971"/>
    <w:rsid w:val="0098712E"/>
    <w:rsid w:val="009915BC"/>
    <w:rsid w:val="00991A7D"/>
    <w:rsid w:val="009963AB"/>
    <w:rsid w:val="0099719E"/>
    <w:rsid w:val="009A7172"/>
    <w:rsid w:val="009A7C46"/>
    <w:rsid w:val="009B18FA"/>
    <w:rsid w:val="009B6D68"/>
    <w:rsid w:val="009C0373"/>
    <w:rsid w:val="009C3275"/>
    <w:rsid w:val="009C3560"/>
    <w:rsid w:val="009C5184"/>
    <w:rsid w:val="009C7F0C"/>
    <w:rsid w:val="009D0170"/>
    <w:rsid w:val="009D40C4"/>
    <w:rsid w:val="009D6AEF"/>
    <w:rsid w:val="009D79AB"/>
    <w:rsid w:val="009E31B4"/>
    <w:rsid w:val="009E521F"/>
    <w:rsid w:val="009E6DEB"/>
    <w:rsid w:val="009E6E11"/>
    <w:rsid w:val="009E7AE3"/>
    <w:rsid w:val="009F3701"/>
    <w:rsid w:val="009F450D"/>
    <w:rsid w:val="009F5A80"/>
    <w:rsid w:val="00A0067B"/>
    <w:rsid w:val="00A0189F"/>
    <w:rsid w:val="00A01BFE"/>
    <w:rsid w:val="00A06AA0"/>
    <w:rsid w:val="00A0731E"/>
    <w:rsid w:val="00A07542"/>
    <w:rsid w:val="00A17072"/>
    <w:rsid w:val="00A17769"/>
    <w:rsid w:val="00A234F3"/>
    <w:rsid w:val="00A33DA1"/>
    <w:rsid w:val="00A33EA5"/>
    <w:rsid w:val="00A37617"/>
    <w:rsid w:val="00A44A15"/>
    <w:rsid w:val="00A45498"/>
    <w:rsid w:val="00A464CD"/>
    <w:rsid w:val="00A51A23"/>
    <w:rsid w:val="00A549B9"/>
    <w:rsid w:val="00A55845"/>
    <w:rsid w:val="00A55BFF"/>
    <w:rsid w:val="00A634D8"/>
    <w:rsid w:val="00A63766"/>
    <w:rsid w:val="00A638D0"/>
    <w:rsid w:val="00A66FCB"/>
    <w:rsid w:val="00A705DB"/>
    <w:rsid w:val="00A70B72"/>
    <w:rsid w:val="00A72974"/>
    <w:rsid w:val="00A731D8"/>
    <w:rsid w:val="00A763B5"/>
    <w:rsid w:val="00A763DC"/>
    <w:rsid w:val="00A8227C"/>
    <w:rsid w:val="00A822CF"/>
    <w:rsid w:val="00A823F1"/>
    <w:rsid w:val="00A824D0"/>
    <w:rsid w:val="00A83AE4"/>
    <w:rsid w:val="00A8494C"/>
    <w:rsid w:val="00A849F3"/>
    <w:rsid w:val="00A86316"/>
    <w:rsid w:val="00A86824"/>
    <w:rsid w:val="00A86852"/>
    <w:rsid w:val="00A874D6"/>
    <w:rsid w:val="00A8794E"/>
    <w:rsid w:val="00A95F24"/>
    <w:rsid w:val="00A96286"/>
    <w:rsid w:val="00AA0261"/>
    <w:rsid w:val="00AA4583"/>
    <w:rsid w:val="00AA4B27"/>
    <w:rsid w:val="00AB0F4F"/>
    <w:rsid w:val="00AB4A16"/>
    <w:rsid w:val="00AB5B41"/>
    <w:rsid w:val="00AB6C47"/>
    <w:rsid w:val="00AC04D1"/>
    <w:rsid w:val="00AC2DD6"/>
    <w:rsid w:val="00AD002F"/>
    <w:rsid w:val="00AD1069"/>
    <w:rsid w:val="00AD1250"/>
    <w:rsid w:val="00AD43CA"/>
    <w:rsid w:val="00AD4B56"/>
    <w:rsid w:val="00AD579C"/>
    <w:rsid w:val="00AD6394"/>
    <w:rsid w:val="00AE47AE"/>
    <w:rsid w:val="00AE532E"/>
    <w:rsid w:val="00AF4F4B"/>
    <w:rsid w:val="00AF6199"/>
    <w:rsid w:val="00AF7666"/>
    <w:rsid w:val="00B01C05"/>
    <w:rsid w:val="00B10A1B"/>
    <w:rsid w:val="00B10E4E"/>
    <w:rsid w:val="00B12644"/>
    <w:rsid w:val="00B14E39"/>
    <w:rsid w:val="00B17972"/>
    <w:rsid w:val="00B204A5"/>
    <w:rsid w:val="00B239DC"/>
    <w:rsid w:val="00B242C4"/>
    <w:rsid w:val="00B25571"/>
    <w:rsid w:val="00B273E7"/>
    <w:rsid w:val="00B316F7"/>
    <w:rsid w:val="00B4148B"/>
    <w:rsid w:val="00B42B51"/>
    <w:rsid w:val="00B43990"/>
    <w:rsid w:val="00B44AF5"/>
    <w:rsid w:val="00B44DA1"/>
    <w:rsid w:val="00B46232"/>
    <w:rsid w:val="00B4679D"/>
    <w:rsid w:val="00B46E5B"/>
    <w:rsid w:val="00B50F14"/>
    <w:rsid w:val="00B57CB3"/>
    <w:rsid w:val="00B60B6C"/>
    <w:rsid w:val="00B61D6E"/>
    <w:rsid w:val="00B623D5"/>
    <w:rsid w:val="00B62EFB"/>
    <w:rsid w:val="00B660F6"/>
    <w:rsid w:val="00B7109E"/>
    <w:rsid w:val="00B71FCA"/>
    <w:rsid w:val="00B76CFF"/>
    <w:rsid w:val="00B8661F"/>
    <w:rsid w:val="00B87388"/>
    <w:rsid w:val="00B905C0"/>
    <w:rsid w:val="00B9796F"/>
    <w:rsid w:val="00BA1405"/>
    <w:rsid w:val="00BA1488"/>
    <w:rsid w:val="00BA5780"/>
    <w:rsid w:val="00BA60B5"/>
    <w:rsid w:val="00BA6834"/>
    <w:rsid w:val="00BB0283"/>
    <w:rsid w:val="00BC1547"/>
    <w:rsid w:val="00BC2A82"/>
    <w:rsid w:val="00BC3D34"/>
    <w:rsid w:val="00BC3DEA"/>
    <w:rsid w:val="00BC6491"/>
    <w:rsid w:val="00BD149B"/>
    <w:rsid w:val="00BD55C0"/>
    <w:rsid w:val="00BE0C76"/>
    <w:rsid w:val="00BE3B19"/>
    <w:rsid w:val="00BE4B6D"/>
    <w:rsid w:val="00BE651C"/>
    <w:rsid w:val="00BE699E"/>
    <w:rsid w:val="00BE751A"/>
    <w:rsid w:val="00BE7A9B"/>
    <w:rsid w:val="00BF0644"/>
    <w:rsid w:val="00BF2EA0"/>
    <w:rsid w:val="00BF2F77"/>
    <w:rsid w:val="00BF38AB"/>
    <w:rsid w:val="00BF44DA"/>
    <w:rsid w:val="00BF5371"/>
    <w:rsid w:val="00C07628"/>
    <w:rsid w:val="00C10B7C"/>
    <w:rsid w:val="00C13383"/>
    <w:rsid w:val="00C13B6E"/>
    <w:rsid w:val="00C15678"/>
    <w:rsid w:val="00C23555"/>
    <w:rsid w:val="00C2732F"/>
    <w:rsid w:val="00C27C26"/>
    <w:rsid w:val="00C338B4"/>
    <w:rsid w:val="00C33EA7"/>
    <w:rsid w:val="00C35B3A"/>
    <w:rsid w:val="00C35B73"/>
    <w:rsid w:val="00C43AA2"/>
    <w:rsid w:val="00C43B83"/>
    <w:rsid w:val="00C45352"/>
    <w:rsid w:val="00C456D3"/>
    <w:rsid w:val="00C46460"/>
    <w:rsid w:val="00C53721"/>
    <w:rsid w:val="00C555DA"/>
    <w:rsid w:val="00C63B15"/>
    <w:rsid w:val="00C70332"/>
    <w:rsid w:val="00C7064D"/>
    <w:rsid w:val="00C73697"/>
    <w:rsid w:val="00C76E3E"/>
    <w:rsid w:val="00C8026F"/>
    <w:rsid w:val="00C80F50"/>
    <w:rsid w:val="00C811D2"/>
    <w:rsid w:val="00C82412"/>
    <w:rsid w:val="00C82E73"/>
    <w:rsid w:val="00C82EE9"/>
    <w:rsid w:val="00C83898"/>
    <w:rsid w:val="00C84396"/>
    <w:rsid w:val="00C84971"/>
    <w:rsid w:val="00C85BB5"/>
    <w:rsid w:val="00C86396"/>
    <w:rsid w:val="00C971BE"/>
    <w:rsid w:val="00C97231"/>
    <w:rsid w:val="00C97277"/>
    <w:rsid w:val="00C97E88"/>
    <w:rsid w:val="00CA124D"/>
    <w:rsid w:val="00CA3ABD"/>
    <w:rsid w:val="00CB1954"/>
    <w:rsid w:val="00CB3452"/>
    <w:rsid w:val="00CB66D8"/>
    <w:rsid w:val="00CB717A"/>
    <w:rsid w:val="00CC23B3"/>
    <w:rsid w:val="00CC7298"/>
    <w:rsid w:val="00CD3B21"/>
    <w:rsid w:val="00CD6B36"/>
    <w:rsid w:val="00CE03CB"/>
    <w:rsid w:val="00CE0CE8"/>
    <w:rsid w:val="00CF31B5"/>
    <w:rsid w:val="00CF3A5A"/>
    <w:rsid w:val="00CF4002"/>
    <w:rsid w:val="00CF700D"/>
    <w:rsid w:val="00CF7B69"/>
    <w:rsid w:val="00D000CA"/>
    <w:rsid w:val="00D00862"/>
    <w:rsid w:val="00D0495F"/>
    <w:rsid w:val="00D05BA4"/>
    <w:rsid w:val="00D05D4F"/>
    <w:rsid w:val="00D12668"/>
    <w:rsid w:val="00D1292F"/>
    <w:rsid w:val="00D12CB0"/>
    <w:rsid w:val="00D14310"/>
    <w:rsid w:val="00D21C8A"/>
    <w:rsid w:val="00D23D13"/>
    <w:rsid w:val="00D23D84"/>
    <w:rsid w:val="00D25421"/>
    <w:rsid w:val="00D310CA"/>
    <w:rsid w:val="00D32ABB"/>
    <w:rsid w:val="00D34F4F"/>
    <w:rsid w:val="00D413BE"/>
    <w:rsid w:val="00D42217"/>
    <w:rsid w:val="00D4259F"/>
    <w:rsid w:val="00D4586E"/>
    <w:rsid w:val="00D46EE6"/>
    <w:rsid w:val="00D52AF5"/>
    <w:rsid w:val="00D56B3B"/>
    <w:rsid w:val="00D61C5E"/>
    <w:rsid w:val="00D62E6D"/>
    <w:rsid w:val="00D73785"/>
    <w:rsid w:val="00D76F0A"/>
    <w:rsid w:val="00D77878"/>
    <w:rsid w:val="00D84EEA"/>
    <w:rsid w:val="00D8738F"/>
    <w:rsid w:val="00D90FAA"/>
    <w:rsid w:val="00D91969"/>
    <w:rsid w:val="00D91AE7"/>
    <w:rsid w:val="00D9435F"/>
    <w:rsid w:val="00D961DD"/>
    <w:rsid w:val="00D96D42"/>
    <w:rsid w:val="00DA1A15"/>
    <w:rsid w:val="00DA1E62"/>
    <w:rsid w:val="00DA4CC9"/>
    <w:rsid w:val="00DA61E2"/>
    <w:rsid w:val="00DA6503"/>
    <w:rsid w:val="00DA73B4"/>
    <w:rsid w:val="00DB0D94"/>
    <w:rsid w:val="00DB3094"/>
    <w:rsid w:val="00DB6D89"/>
    <w:rsid w:val="00DC26F9"/>
    <w:rsid w:val="00DD3F87"/>
    <w:rsid w:val="00DD7D74"/>
    <w:rsid w:val="00DE0F79"/>
    <w:rsid w:val="00DE5214"/>
    <w:rsid w:val="00DF4432"/>
    <w:rsid w:val="00DF4EC9"/>
    <w:rsid w:val="00DF5C75"/>
    <w:rsid w:val="00DF7977"/>
    <w:rsid w:val="00DF7F3D"/>
    <w:rsid w:val="00E00433"/>
    <w:rsid w:val="00E032A0"/>
    <w:rsid w:val="00E06433"/>
    <w:rsid w:val="00E12E83"/>
    <w:rsid w:val="00E1367A"/>
    <w:rsid w:val="00E1427E"/>
    <w:rsid w:val="00E142F9"/>
    <w:rsid w:val="00E27B5C"/>
    <w:rsid w:val="00E3215A"/>
    <w:rsid w:val="00E33502"/>
    <w:rsid w:val="00E342EB"/>
    <w:rsid w:val="00E368EF"/>
    <w:rsid w:val="00E37EC7"/>
    <w:rsid w:val="00E420B4"/>
    <w:rsid w:val="00E4401C"/>
    <w:rsid w:val="00E46EA5"/>
    <w:rsid w:val="00E47921"/>
    <w:rsid w:val="00E52A8B"/>
    <w:rsid w:val="00E54480"/>
    <w:rsid w:val="00E60AF7"/>
    <w:rsid w:val="00E610E9"/>
    <w:rsid w:val="00E61A84"/>
    <w:rsid w:val="00E62062"/>
    <w:rsid w:val="00E62458"/>
    <w:rsid w:val="00E64B8F"/>
    <w:rsid w:val="00E65607"/>
    <w:rsid w:val="00E70CFF"/>
    <w:rsid w:val="00E723CC"/>
    <w:rsid w:val="00E7605E"/>
    <w:rsid w:val="00E7786C"/>
    <w:rsid w:val="00E8120A"/>
    <w:rsid w:val="00E82F81"/>
    <w:rsid w:val="00E832CC"/>
    <w:rsid w:val="00E83E76"/>
    <w:rsid w:val="00E84A6F"/>
    <w:rsid w:val="00E85D7D"/>
    <w:rsid w:val="00E867E1"/>
    <w:rsid w:val="00E928C8"/>
    <w:rsid w:val="00E92CD4"/>
    <w:rsid w:val="00E92EBA"/>
    <w:rsid w:val="00E96DDB"/>
    <w:rsid w:val="00E97F44"/>
    <w:rsid w:val="00EA0489"/>
    <w:rsid w:val="00EA065B"/>
    <w:rsid w:val="00EA3DDC"/>
    <w:rsid w:val="00EA5DA8"/>
    <w:rsid w:val="00EB0FB5"/>
    <w:rsid w:val="00EB6974"/>
    <w:rsid w:val="00EB74A8"/>
    <w:rsid w:val="00EB7EF6"/>
    <w:rsid w:val="00EC3EAA"/>
    <w:rsid w:val="00EC5CAD"/>
    <w:rsid w:val="00ED3620"/>
    <w:rsid w:val="00ED5F9A"/>
    <w:rsid w:val="00EE0E5B"/>
    <w:rsid w:val="00EE3ACB"/>
    <w:rsid w:val="00EF00E7"/>
    <w:rsid w:val="00EF2225"/>
    <w:rsid w:val="00EF6604"/>
    <w:rsid w:val="00EF7113"/>
    <w:rsid w:val="00F010E5"/>
    <w:rsid w:val="00F03EAC"/>
    <w:rsid w:val="00F07883"/>
    <w:rsid w:val="00F124F4"/>
    <w:rsid w:val="00F1284D"/>
    <w:rsid w:val="00F13689"/>
    <w:rsid w:val="00F14CBC"/>
    <w:rsid w:val="00F2115E"/>
    <w:rsid w:val="00F21C58"/>
    <w:rsid w:val="00F251DB"/>
    <w:rsid w:val="00F269AF"/>
    <w:rsid w:val="00F27891"/>
    <w:rsid w:val="00F321E9"/>
    <w:rsid w:val="00F32916"/>
    <w:rsid w:val="00F32C02"/>
    <w:rsid w:val="00F41AD5"/>
    <w:rsid w:val="00F41D64"/>
    <w:rsid w:val="00F476ED"/>
    <w:rsid w:val="00F4796E"/>
    <w:rsid w:val="00F47E11"/>
    <w:rsid w:val="00F50039"/>
    <w:rsid w:val="00F516FE"/>
    <w:rsid w:val="00F53218"/>
    <w:rsid w:val="00F55EDB"/>
    <w:rsid w:val="00F5621F"/>
    <w:rsid w:val="00F5788A"/>
    <w:rsid w:val="00F6026E"/>
    <w:rsid w:val="00F605B0"/>
    <w:rsid w:val="00F63FDE"/>
    <w:rsid w:val="00F641ED"/>
    <w:rsid w:val="00F70C76"/>
    <w:rsid w:val="00F71B37"/>
    <w:rsid w:val="00F74221"/>
    <w:rsid w:val="00F83608"/>
    <w:rsid w:val="00F87806"/>
    <w:rsid w:val="00F92EEC"/>
    <w:rsid w:val="00F93728"/>
    <w:rsid w:val="00F97CEA"/>
    <w:rsid w:val="00F97D0E"/>
    <w:rsid w:val="00FA21A3"/>
    <w:rsid w:val="00FA3764"/>
    <w:rsid w:val="00FB36B6"/>
    <w:rsid w:val="00FB686D"/>
    <w:rsid w:val="00FC02ED"/>
    <w:rsid w:val="00FC0869"/>
    <w:rsid w:val="00FC1F3E"/>
    <w:rsid w:val="00FC3BA2"/>
    <w:rsid w:val="00FC3E26"/>
    <w:rsid w:val="00FC645D"/>
    <w:rsid w:val="00FC7C11"/>
    <w:rsid w:val="00FD2723"/>
    <w:rsid w:val="00FD33A5"/>
    <w:rsid w:val="00FD59C4"/>
    <w:rsid w:val="00FD66C7"/>
    <w:rsid w:val="00FE1331"/>
    <w:rsid w:val="00FE45D4"/>
    <w:rsid w:val="00FE5A04"/>
    <w:rsid w:val="00FF37FF"/>
    <w:rsid w:val="00F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8FC9"/>
  <w15:chartTrackingRefBased/>
  <w15:docId w15:val="{B43D2846-605B-4D63-9FC1-D5F5B56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75C"/>
    <w:pPr>
      <w:widowControl w:val="0"/>
      <w:jc w:val="both"/>
    </w:pPr>
    <w:rPr>
      <w:rFonts w:eastAsia="仿宋_GB2312"/>
      <w:sz w:val="32"/>
    </w:rPr>
  </w:style>
  <w:style w:type="paragraph" w:styleId="2">
    <w:name w:val="heading 2"/>
    <w:basedOn w:val="a"/>
    <w:next w:val="a"/>
    <w:link w:val="20"/>
    <w:uiPriority w:val="9"/>
    <w:unhideWhenUsed/>
    <w:qFormat/>
    <w:rsid w:val="0096775C"/>
    <w:pPr>
      <w:keepNext/>
      <w:keepLines/>
      <w:spacing w:before="260" w:after="260" w:line="416" w:lineRule="auto"/>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6775C"/>
    <w:rPr>
      <w:rFonts w:asciiTheme="majorHAnsi" w:eastAsia="楷体_GB2312" w:hAnsiTheme="majorHAnsi" w:cstheme="majorBidi"/>
      <w:b/>
      <w:bCs/>
      <w:sz w:val="32"/>
      <w:szCs w:val="32"/>
    </w:rPr>
  </w:style>
  <w:style w:type="character" w:styleId="a3">
    <w:name w:val="annotation reference"/>
    <w:basedOn w:val="a0"/>
    <w:uiPriority w:val="99"/>
    <w:semiHidden/>
    <w:unhideWhenUsed/>
    <w:rsid w:val="0096775C"/>
    <w:rPr>
      <w:sz w:val="21"/>
      <w:szCs w:val="21"/>
    </w:rPr>
  </w:style>
  <w:style w:type="paragraph" w:styleId="a4">
    <w:name w:val="annotation text"/>
    <w:basedOn w:val="a"/>
    <w:link w:val="a5"/>
    <w:uiPriority w:val="99"/>
    <w:semiHidden/>
    <w:unhideWhenUsed/>
    <w:rsid w:val="0096775C"/>
    <w:pPr>
      <w:jc w:val="left"/>
    </w:pPr>
  </w:style>
  <w:style w:type="character" w:customStyle="1" w:styleId="a5">
    <w:name w:val="批注文字 字符"/>
    <w:basedOn w:val="a0"/>
    <w:link w:val="a4"/>
    <w:uiPriority w:val="99"/>
    <w:semiHidden/>
    <w:rsid w:val="0096775C"/>
    <w:rPr>
      <w:rFonts w:eastAsia="仿宋_GB2312"/>
      <w:sz w:val="32"/>
    </w:rPr>
  </w:style>
  <w:style w:type="paragraph" w:styleId="a6">
    <w:name w:val="Balloon Text"/>
    <w:basedOn w:val="a"/>
    <w:link w:val="a7"/>
    <w:uiPriority w:val="99"/>
    <w:semiHidden/>
    <w:unhideWhenUsed/>
    <w:rsid w:val="009714E8"/>
    <w:rPr>
      <w:sz w:val="18"/>
      <w:szCs w:val="18"/>
    </w:rPr>
  </w:style>
  <w:style w:type="character" w:customStyle="1" w:styleId="a7">
    <w:name w:val="批注框文本 字符"/>
    <w:basedOn w:val="a0"/>
    <w:link w:val="a6"/>
    <w:uiPriority w:val="99"/>
    <w:semiHidden/>
    <w:rsid w:val="009714E8"/>
    <w:rPr>
      <w:rFonts w:eastAsia="仿宋_GB2312"/>
      <w:sz w:val="18"/>
      <w:szCs w:val="18"/>
    </w:rPr>
  </w:style>
  <w:style w:type="paragraph" w:styleId="a8">
    <w:name w:val="header"/>
    <w:basedOn w:val="a"/>
    <w:link w:val="a9"/>
    <w:uiPriority w:val="99"/>
    <w:unhideWhenUsed/>
    <w:rsid w:val="009714E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714E8"/>
    <w:rPr>
      <w:rFonts w:eastAsia="仿宋_GB2312"/>
      <w:sz w:val="18"/>
      <w:szCs w:val="18"/>
    </w:rPr>
  </w:style>
  <w:style w:type="paragraph" w:styleId="aa">
    <w:name w:val="footer"/>
    <w:basedOn w:val="a"/>
    <w:link w:val="ab"/>
    <w:uiPriority w:val="99"/>
    <w:unhideWhenUsed/>
    <w:rsid w:val="009714E8"/>
    <w:pPr>
      <w:tabs>
        <w:tab w:val="center" w:pos="4153"/>
        <w:tab w:val="right" w:pos="8306"/>
      </w:tabs>
      <w:snapToGrid w:val="0"/>
      <w:jc w:val="left"/>
    </w:pPr>
    <w:rPr>
      <w:sz w:val="18"/>
      <w:szCs w:val="18"/>
    </w:rPr>
  </w:style>
  <w:style w:type="character" w:customStyle="1" w:styleId="ab">
    <w:name w:val="页脚 字符"/>
    <w:basedOn w:val="a0"/>
    <w:link w:val="aa"/>
    <w:uiPriority w:val="99"/>
    <w:rsid w:val="009714E8"/>
    <w:rPr>
      <w:rFonts w:eastAsia="仿宋_GB2312"/>
      <w:sz w:val="18"/>
      <w:szCs w:val="18"/>
    </w:rPr>
  </w:style>
  <w:style w:type="table" w:customStyle="1" w:styleId="1">
    <w:name w:val="网格型1"/>
    <w:basedOn w:val="a1"/>
    <w:next w:val="ac"/>
    <w:uiPriority w:val="39"/>
    <w:rsid w:val="009C7F0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C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沙明泉</dc:creator>
  <cp:keywords/>
  <dc:description/>
  <cp:lastModifiedBy>谢 瑾</cp:lastModifiedBy>
  <cp:revision>2</cp:revision>
  <dcterms:created xsi:type="dcterms:W3CDTF">2020-10-26T01:36:00Z</dcterms:created>
  <dcterms:modified xsi:type="dcterms:W3CDTF">2020-10-26T01:36:00Z</dcterms:modified>
</cp:coreProperties>
</file>